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52DBC" w:rsidRPr="00752DBC" w:rsidRDefault="00F95514" w:rsidP="00F95514">
      <w:pPr>
        <w:pStyle w:val="Heading1"/>
      </w:pPr>
      <w:r>
        <w:t>DECC-</w:t>
      </w:r>
      <w:proofErr w:type="gramStart"/>
      <w:r>
        <w:t xml:space="preserve">EEPB  </w:t>
      </w:r>
      <w:r w:rsidR="00723181" w:rsidRPr="00FD4E3E">
        <w:t>Microgeneration</w:t>
      </w:r>
      <w:proofErr w:type="gramEnd"/>
      <w:r w:rsidR="00723181" w:rsidRPr="00FD4E3E">
        <w:t xml:space="preserve"> Government-Industry Contact Group</w:t>
      </w:r>
      <w:r>
        <w:t xml:space="preserve"> meeting, 30 May 2012</w:t>
      </w:r>
    </w:p>
    <w:tbl>
      <w:tblPr>
        <w:tblW w:w="8940" w:type="dxa"/>
        <w:jc w:val="center"/>
        <w:tblLook w:val="04A0" w:firstRow="1" w:lastRow="0" w:firstColumn="1" w:lastColumn="0" w:noHBand="0" w:noVBand="1"/>
      </w:tblPr>
      <w:tblGrid>
        <w:gridCol w:w="515"/>
        <w:gridCol w:w="2216"/>
        <w:gridCol w:w="1316"/>
        <w:gridCol w:w="1296"/>
        <w:gridCol w:w="651"/>
        <w:gridCol w:w="2946"/>
      </w:tblGrid>
      <w:tr w:rsidR="00D349C7" w:rsidRPr="0050513A" w:rsidTr="00F95514">
        <w:trPr>
          <w:trHeight w:val="36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b/>
                <w:bCs/>
                <w:sz w:val="22"/>
                <w:lang w:eastAsia="en-GB"/>
              </w:rPr>
            </w:pP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000000" w:fill="A9A9BA" w:themeFill="background1" w:themeFillShade="E6"/>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b/>
                <w:bCs/>
                <w:sz w:val="22"/>
                <w:lang w:eastAsia="en-GB"/>
              </w:rPr>
            </w:pPr>
            <w:r w:rsidRPr="0050513A">
              <w:rPr>
                <w:rFonts w:asciiTheme="minorHAnsi" w:eastAsia="Times New Roman" w:hAnsiTheme="minorHAnsi" w:cstheme="minorHAnsi"/>
                <w:b/>
                <w:bCs/>
                <w:sz w:val="22"/>
                <w:lang w:eastAsia="en-GB"/>
              </w:rPr>
              <w:t>Organisation</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000000" w:fill="A9A9BA" w:themeFill="background1" w:themeFillShade="E6"/>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b/>
                <w:bCs/>
                <w:sz w:val="22"/>
                <w:lang w:eastAsia="en-GB"/>
              </w:rPr>
            </w:pPr>
            <w:r w:rsidRPr="0050513A">
              <w:rPr>
                <w:rFonts w:asciiTheme="minorHAnsi" w:eastAsia="Times New Roman" w:hAnsiTheme="minorHAnsi" w:cstheme="minorHAnsi"/>
                <w:b/>
                <w:bCs/>
                <w:sz w:val="22"/>
                <w:lang w:eastAsia="en-GB"/>
              </w:rPr>
              <w:t>First Name</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000000" w:fill="A9A9BA" w:themeFill="background1" w:themeFillShade="E6"/>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b/>
                <w:bCs/>
                <w:sz w:val="22"/>
                <w:lang w:eastAsia="en-GB"/>
              </w:rPr>
            </w:pPr>
            <w:r w:rsidRPr="0050513A">
              <w:rPr>
                <w:rFonts w:asciiTheme="minorHAnsi" w:eastAsia="Times New Roman" w:hAnsiTheme="minorHAnsi" w:cstheme="minorHAnsi"/>
                <w:b/>
                <w:bCs/>
                <w:sz w:val="22"/>
                <w:lang w:eastAsia="en-GB"/>
              </w:rPr>
              <w:t>Surname</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bCs/>
                <w:sz w:val="22"/>
                <w:lang w:eastAsia="en-GB"/>
              </w:rPr>
            </w:pP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bCs/>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jc w:val="right"/>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1</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BEAMA</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Kelly</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 xml:space="preserve">Butler </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KB</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5A7EBE"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5A7EBE"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2</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BPVA</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Reza</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Shay</w:t>
            </w:r>
            <w:r>
              <w:rPr>
                <w:rFonts w:asciiTheme="minorHAnsi" w:eastAsia="Times New Roman" w:hAnsiTheme="minorHAnsi" w:cstheme="minorHAnsi"/>
                <w:sz w:val="22"/>
                <w:lang w:eastAsia="en-GB"/>
              </w:rPr>
              <w:t>b</w:t>
            </w:r>
            <w:r w:rsidRPr="0050513A">
              <w:rPr>
                <w:rFonts w:asciiTheme="minorHAnsi" w:eastAsia="Times New Roman" w:hAnsiTheme="minorHAnsi" w:cstheme="minorHAnsi"/>
                <w:sz w:val="22"/>
                <w:lang w:eastAsia="en-GB"/>
              </w:rPr>
              <w:t>ani</w:t>
            </w:r>
          </w:p>
        </w:tc>
        <w:tc>
          <w:tcPr>
            <w:tcW w:w="651" w:type="dxa"/>
            <w:tcBorders>
              <w:top w:val="nil"/>
              <w:left w:val="single" w:sz="2" w:space="0" w:color="58586E" w:themeColor="background1" w:themeShade="80"/>
              <w:bottom w:val="nil"/>
              <w:right w:val="single" w:sz="2" w:space="0" w:color="58586E" w:themeColor="background1" w:themeShade="80"/>
            </w:tcBorders>
          </w:tcPr>
          <w:p w:rsidR="005A7EBE" w:rsidRPr="00D349C7" w:rsidRDefault="00FD4E3E" w:rsidP="00F95514">
            <w:pPr>
              <w:spacing w:after="0" w:line="240" w:lineRule="auto"/>
              <w:contextualSpacing/>
              <w:jc w:val="center"/>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RS</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5A7EBE" w:rsidRPr="00A34888" w:rsidRDefault="005A7EBE"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3</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CIPHE</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Keith</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Westcott</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KW</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4</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Consumer Focus</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5A7EBE" w:rsidP="00F95514">
            <w:pPr>
              <w:spacing w:after="0" w:line="240" w:lineRule="auto"/>
              <w:contextualSpacing/>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Liz</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5A7EBE" w:rsidP="00F95514">
            <w:pPr>
              <w:spacing w:after="0" w:line="240" w:lineRule="auto"/>
              <w:contextualSpacing/>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Lainé</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5A7EBE" w:rsidP="00F95514">
            <w:pPr>
              <w:spacing w:after="0" w:line="240" w:lineRule="auto"/>
              <w:contextualSpacing/>
              <w:jc w:val="center"/>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LL</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5A7EBE"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jc w:val="right"/>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5</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DECC</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Paul</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Rochester</w:t>
            </w:r>
          </w:p>
        </w:tc>
        <w:tc>
          <w:tcPr>
            <w:tcW w:w="651" w:type="dxa"/>
            <w:tcBorders>
              <w:top w:val="nil"/>
              <w:left w:val="single" w:sz="2" w:space="0" w:color="58586E" w:themeColor="background1" w:themeShade="80"/>
              <w:bottom w:val="nil"/>
              <w:right w:val="single" w:sz="2" w:space="0" w:color="58586E" w:themeColor="background1" w:themeShade="80"/>
            </w:tcBorders>
          </w:tcPr>
          <w:p w:rsidR="005A7EBE" w:rsidRPr="00D349C7" w:rsidRDefault="005A7EBE"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PR</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5A7EBE" w:rsidRPr="00A34888" w:rsidRDefault="005A7EBE" w:rsidP="00F95514">
            <w:pPr>
              <w:spacing w:after="0" w:line="240" w:lineRule="auto"/>
              <w:contextualSpacing/>
              <w:rPr>
                <w:rFonts w:asciiTheme="minorHAnsi" w:eastAsia="Times New Roman" w:hAnsiTheme="minorHAnsi" w:cstheme="minorHAnsi"/>
                <w:sz w:val="20"/>
                <w:szCs w:val="20"/>
                <w:lang w:eastAsia="en-GB"/>
              </w:rPr>
            </w:pPr>
          </w:p>
        </w:tc>
      </w:tr>
      <w:tr w:rsidR="005A7EBE"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5A7EBE"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6</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EEP</w:t>
            </w:r>
            <w:r>
              <w:rPr>
                <w:rFonts w:asciiTheme="minorHAnsi" w:eastAsia="Times New Roman" w:hAnsiTheme="minorHAnsi" w:cstheme="minorHAnsi"/>
                <w:sz w:val="22"/>
                <w:lang w:eastAsia="en-GB"/>
              </w:rPr>
              <w:t>B</w:t>
            </w:r>
            <w:r w:rsidRPr="0050513A">
              <w:rPr>
                <w:rFonts w:asciiTheme="minorHAnsi" w:eastAsia="Times New Roman" w:hAnsiTheme="minorHAnsi" w:cstheme="minorHAnsi"/>
                <w:sz w:val="22"/>
                <w:lang w:eastAsia="en-GB"/>
              </w:rPr>
              <w:t xml:space="preserve"> (chairing)</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Mark</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Brown</w:t>
            </w:r>
          </w:p>
        </w:tc>
        <w:tc>
          <w:tcPr>
            <w:tcW w:w="651" w:type="dxa"/>
            <w:tcBorders>
              <w:top w:val="nil"/>
              <w:left w:val="single" w:sz="2" w:space="0" w:color="58586E" w:themeColor="background1" w:themeShade="80"/>
              <w:bottom w:val="nil"/>
              <w:right w:val="single" w:sz="2" w:space="0" w:color="58586E" w:themeColor="background1" w:themeShade="80"/>
            </w:tcBorders>
          </w:tcPr>
          <w:p w:rsidR="005A7EBE" w:rsidRPr="00D349C7" w:rsidRDefault="005A7EBE"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MB</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5A7EBE" w:rsidRPr="00A34888" w:rsidRDefault="005A7EBE" w:rsidP="00F95514">
            <w:pPr>
              <w:spacing w:after="0" w:line="240" w:lineRule="auto"/>
              <w:contextualSpacing/>
              <w:rPr>
                <w:rFonts w:asciiTheme="minorHAnsi" w:eastAsia="Times New Roman" w:hAnsiTheme="minorHAnsi" w:cstheme="minorHAnsi"/>
                <w:sz w:val="20"/>
                <w:szCs w:val="20"/>
                <w:lang w:eastAsia="en-GB"/>
              </w:rPr>
            </w:pPr>
          </w:p>
        </w:tc>
      </w:tr>
      <w:tr w:rsidR="005A7EBE"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5A7EBE"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7</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EEP</w:t>
            </w:r>
            <w:r>
              <w:rPr>
                <w:rFonts w:asciiTheme="minorHAnsi" w:eastAsia="Times New Roman" w:hAnsiTheme="minorHAnsi" w:cstheme="minorHAnsi"/>
                <w:sz w:val="22"/>
                <w:lang w:eastAsia="en-GB"/>
              </w:rPr>
              <w:t>B</w:t>
            </w:r>
            <w:r w:rsidRPr="0050513A">
              <w:rPr>
                <w:rFonts w:asciiTheme="minorHAnsi" w:eastAsia="Times New Roman" w:hAnsiTheme="minorHAnsi" w:cstheme="minorHAnsi"/>
                <w:sz w:val="22"/>
                <w:lang w:eastAsia="en-GB"/>
              </w:rPr>
              <w:t xml:space="preserve"> (notes)</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Mathias</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Hessler</w:t>
            </w:r>
          </w:p>
        </w:tc>
        <w:tc>
          <w:tcPr>
            <w:tcW w:w="651" w:type="dxa"/>
            <w:tcBorders>
              <w:top w:val="nil"/>
              <w:left w:val="single" w:sz="2" w:space="0" w:color="58586E" w:themeColor="background1" w:themeShade="80"/>
              <w:bottom w:val="nil"/>
              <w:right w:val="single" w:sz="2" w:space="0" w:color="58586E" w:themeColor="background1" w:themeShade="80"/>
            </w:tcBorders>
          </w:tcPr>
          <w:p w:rsidR="005A7EBE" w:rsidRPr="00D349C7" w:rsidRDefault="005A7EBE" w:rsidP="00F95514">
            <w:pPr>
              <w:spacing w:after="0" w:line="240" w:lineRule="auto"/>
              <w:contextualSpacing/>
              <w:jc w:val="center"/>
              <w:rPr>
                <w:rFonts w:asciiTheme="minorHAnsi" w:eastAsia="Times New Roman" w:hAnsiTheme="minorHAnsi" w:cstheme="minorHAnsi"/>
                <w:bCs/>
                <w:sz w:val="22"/>
                <w:lang w:eastAsia="en-GB"/>
              </w:rPr>
            </w:pPr>
            <w:r w:rsidRPr="00D349C7">
              <w:rPr>
                <w:rFonts w:asciiTheme="minorHAnsi" w:eastAsia="Times New Roman" w:hAnsiTheme="minorHAnsi" w:cstheme="minorHAnsi"/>
                <w:bCs/>
                <w:sz w:val="22"/>
                <w:lang w:eastAsia="en-GB"/>
              </w:rPr>
              <w:t>MH</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5A7EBE" w:rsidRPr="00A34888" w:rsidRDefault="005A7EBE" w:rsidP="00F95514">
            <w:pPr>
              <w:spacing w:after="0" w:line="240" w:lineRule="auto"/>
              <w:contextualSpacing/>
              <w:rPr>
                <w:rFonts w:asciiTheme="minorHAnsi" w:eastAsia="Times New Roman" w:hAnsiTheme="minorHAnsi" w:cstheme="minorHAnsi"/>
                <w:bCs/>
                <w:sz w:val="20"/>
                <w:szCs w:val="20"/>
                <w:lang w:eastAsia="en-GB"/>
              </w:rPr>
            </w:pPr>
            <w:r w:rsidRPr="00A34888">
              <w:rPr>
                <w:rFonts w:asciiTheme="minorHAnsi" w:eastAsia="Times New Roman" w:hAnsiTheme="minorHAnsi" w:cstheme="minorHAnsi"/>
                <w:bCs/>
                <w:sz w:val="20"/>
                <w:szCs w:val="20"/>
                <w:lang w:eastAsia="en-GB"/>
              </w:rPr>
              <w:t> </w:t>
            </w: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8</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proofErr w:type="spellStart"/>
            <w:r w:rsidRPr="0050513A">
              <w:rPr>
                <w:rFonts w:asciiTheme="minorHAnsi" w:eastAsia="Times New Roman" w:hAnsiTheme="minorHAnsi" w:cstheme="minorHAnsi"/>
                <w:sz w:val="22"/>
                <w:lang w:eastAsia="en-GB"/>
              </w:rPr>
              <w:t>Gemserv</w:t>
            </w:r>
            <w:proofErr w:type="spellEnd"/>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5A7EBE" w:rsidP="00F95514">
            <w:pPr>
              <w:spacing w:after="0" w:line="240" w:lineRule="auto"/>
              <w:contextualSpacing/>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Kunal</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5A7EBE" w:rsidP="00F95514">
            <w:pPr>
              <w:spacing w:after="0" w:line="240" w:lineRule="auto"/>
              <w:contextualSpacing/>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Sharma</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FD4E3E" w:rsidP="00F95514">
            <w:pPr>
              <w:spacing w:after="0" w:line="240" w:lineRule="auto"/>
              <w:contextualSpacing/>
              <w:jc w:val="center"/>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KS</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FD4E3E" w:rsidP="00F95514">
            <w:pPr>
              <w:spacing w:after="0" w:line="240" w:lineRule="auto"/>
              <w:contextualSpacing/>
              <w:rPr>
                <w:rFonts w:asciiTheme="minorHAnsi" w:eastAsia="Times New Roman" w:hAnsiTheme="minorHAnsi" w:cstheme="minorHAnsi"/>
                <w:sz w:val="20"/>
                <w:szCs w:val="20"/>
                <w:lang w:eastAsia="en-GB"/>
              </w:rPr>
            </w:pPr>
            <w:r>
              <w:rPr>
                <w:rFonts w:asciiTheme="minorHAnsi" w:eastAsia="Times New Roman" w:hAnsiTheme="minorHAnsi" w:cstheme="minorHAnsi"/>
                <w:sz w:val="20"/>
                <w:szCs w:val="20"/>
                <w:lang w:eastAsia="en-GB"/>
              </w:rPr>
              <w:t>deputising for Brendan McGarry</w:t>
            </w: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9</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A34888" w:rsidP="00F95514">
            <w:pPr>
              <w:spacing w:after="0" w:line="240" w:lineRule="auto"/>
              <w:contextualSpacing/>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GSHPA</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 xml:space="preserve">David </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Matthews</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DM</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10</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HETAS</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Bruce</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Allen</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BA</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11</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HHIC</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Chris</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Yates</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CY</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12</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MCS</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 xml:space="preserve">Gideon </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 xml:space="preserve">Richards </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GR</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13</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proofErr w:type="spellStart"/>
            <w:r w:rsidRPr="0050513A">
              <w:rPr>
                <w:rFonts w:asciiTheme="minorHAnsi" w:eastAsia="Times New Roman" w:hAnsiTheme="minorHAnsi" w:cstheme="minorHAnsi"/>
                <w:sz w:val="22"/>
                <w:lang w:eastAsia="en-GB"/>
              </w:rPr>
              <w:t>Micropower</w:t>
            </w:r>
            <w:proofErr w:type="spellEnd"/>
            <w:r w:rsidRPr="0050513A">
              <w:rPr>
                <w:rFonts w:asciiTheme="minorHAnsi" w:eastAsia="Times New Roman" w:hAnsiTheme="minorHAnsi" w:cstheme="minorHAnsi"/>
                <w:sz w:val="22"/>
                <w:lang w:eastAsia="en-GB"/>
              </w:rPr>
              <w:t xml:space="preserve"> Council</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Grace</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Bennett</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GB</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r w:rsidRPr="00A34888">
              <w:rPr>
                <w:rFonts w:asciiTheme="minorHAnsi" w:eastAsia="Times New Roman" w:hAnsiTheme="minorHAnsi" w:cstheme="minorHAnsi"/>
                <w:sz w:val="20"/>
                <w:szCs w:val="20"/>
                <w:lang w:eastAsia="en-GB"/>
              </w:rPr>
              <w:t>deputising for Dave Sowden</w:t>
            </w:r>
          </w:p>
        </w:tc>
      </w:tr>
      <w:tr w:rsidR="005A7EBE" w:rsidRPr="0050513A" w:rsidTr="00F95514">
        <w:trPr>
          <w:trHeight w:val="300"/>
          <w:jc w:val="center"/>
        </w:trPr>
        <w:tc>
          <w:tcPr>
            <w:tcW w:w="0" w:type="auto"/>
            <w:tcBorders>
              <w:top w:val="nil"/>
              <w:left w:val="nil"/>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1</w:t>
            </w:r>
            <w:r w:rsidR="00FD4E3E">
              <w:rPr>
                <w:rFonts w:asciiTheme="minorHAnsi" w:eastAsia="Times New Roman" w:hAnsiTheme="minorHAnsi" w:cstheme="minorHAnsi"/>
                <w:sz w:val="22"/>
                <w:lang w:eastAsia="en-GB"/>
              </w:rPr>
              <w:t>4</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NHBC</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Neil</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Smith</w:t>
            </w:r>
          </w:p>
        </w:tc>
        <w:tc>
          <w:tcPr>
            <w:tcW w:w="651" w:type="dxa"/>
            <w:tcBorders>
              <w:top w:val="nil"/>
              <w:left w:val="single" w:sz="2" w:space="0" w:color="58586E" w:themeColor="background1" w:themeShade="80"/>
              <w:bottom w:val="nil"/>
              <w:right w:val="single" w:sz="2" w:space="0" w:color="58586E" w:themeColor="background1" w:themeShade="80"/>
            </w:tcBorders>
          </w:tcPr>
          <w:p w:rsidR="005A7EBE" w:rsidRPr="00D349C7" w:rsidRDefault="00FD4E3E" w:rsidP="00F95514">
            <w:pPr>
              <w:spacing w:after="0" w:line="240" w:lineRule="auto"/>
              <w:contextualSpacing/>
              <w:jc w:val="center"/>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NS</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5A7EBE" w:rsidRPr="00A34888" w:rsidRDefault="005A7EBE" w:rsidP="00F95514">
            <w:pPr>
              <w:spacing w:after="0" w:line="240" w:lineRule="auto"/>
              <w:contextualSpacing/>
              <w:rPr>
                <w:rFonts w:asciiTheme="minorHAnsi" w:eastAsia="Times New Roman" w:hAnsiTheme="minorHAnsi" w:cstheme="minorHAnsi"/>
                <w:sz w:val="20"/>
                <w:szCs w:val="20"/>
                <w:lang w:eastAsia="en-GB"/>
              </w:rPr>
            </w:pPr>
          </w:p>
        </w:tc>
      </w:tr>
      <w:tr w:rsidR="005A7EBE"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tcPr>
          <w:p w:rsidR="005A7EBE"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15</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REA / STA</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Mike</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proofErr w:type="spellStart"/>
            <w:r>
              <w:rPr>
                <w:rFonts w:asciiTheme="minorHAnsi" w:eastAsia="Times New Roman" w:hAnsiTheme="minorHAnsi" w:cstheme="minorHAnsi"/>
                <w:sz w:val="22"/>
                <w:lang w:eastAsia="en-GB"/>
              </w:rPr>
              <w:t>Landy</w:t>
            </w:r>
            <w:proofErr w:type="spellEnd"/>
          </w:p>
        </w:tc>
        <w:tc>
          <w:tcPr>
            <w:tcW w:w="651" w:type="dxa"/>
            <w:tcBorders>
              <w:top w:val="nil"/>
              <w:left w:val="single" w:sz="2" w:space="0" w:color="58586E" w:themeColor="background1" w:themeShade="80"/>
              <w:bottom w:val="nil"/>
              <w:right w:val="single" w:sz="2" w:space="0" w:color="58586E" w:themeColor="background1" w:themeShade="80"/>
            </w:tcBorders>
          </w:tcPr>
          <w:p w:rsidR="005A7EBE" w:rsidRPr="00D349C7" w:rsidRDefault="00FD4E3E" w:rsidP="00F95514">
            <w:pPr>
              <w:spacing w:after="0" w:line="240" w:lineRule="auto"/>
              <w:contextualSpacing/>
              <w:jc w:val="center"/>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ML</w:t>
            </w:r>
          </w:p>
        </w:tc>
        <w:tc>
          <w:tcPr>
            <w:tcW w:w="2946" w:type="dxa"/>
            <w:tcBorders>
              <w:top w:val="nil"/>
              <w:left w:val="single" w:sz="2" w:space="0" w:color="58586E" w:themeColor="background1" w:themeShade="80"/>
              <w:bottom w:val="nil"/>
              <w:right w:val="nil"/>
            </w:tcBorders>
            <w:shd w:val="clear" w:color="auto" w:fill="auto"/>
            <w:noWrap/>
            <w:vAlign w:val="center"/>
          </w:tcPr>
          <w:p w:rsidR="005A7EBE" w:rsidRPr="00A34888" w:rsidRDefault="00FD4E3E" w:rsidP="00F95514">
            <w:pPr>
              <w:spacing w:after="0" w:line="240" w:lineRule="auto"/>
              <w:contextualSpacing/>
              <w:rPr>
                <w:rFonts w:asciiTheme="minorHAnsi" w:eastAsia="Times New Roman" w:hAnsiTheme="minorHAnsi" w:cstheme="minorHAnsi"/>
                <w:sz w:val="20"/>
                <w:szCs w:val="20"/>
                <w:lang w:eastAsia="en-GB"/>
              </w:rPr>
            </w:pPr>
            <w:r>
              <w:rPr>
                <w:rFonts w:asciiTheme="minorHAnsi" w:eastAsia="Times New Roman" w:hAnsiTheme="minorHAnsi" w:cstheme="minorHAnsi"/>
                <w:sz w:val="20"/>
                <w:szCs w:val="20"/>
                <w:lang w:eastAsia="en-GB"/>
              </w:rPr>
              <w:t>no response from Howard Johns</w:t>
            </w: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jc w:val="right"/>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16</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REAL</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Mark</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Cutler</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MC</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r w:rsidRPr="00A34888">
              <w:rPr>
                <w:rFonts w:asciiTheme="minorHAnsi" w:eastAsia="Times New Roman" w:hAnsiTheme="minorHAnsi" w:cstheme="minorHAnsi"/>
                <w:sz w:val="20"/>
                <w:szCs w:val="20"/>
                <w:lang w:eastAsia="en-GB"/>
              </w:rPr>
              <w:t>d</w:t>
            </w:r>
            <w:r w:rsidR="005A7EBE">
              <w:rPr>
                <w:rFonts w:asciiTheme="minorHAnsi" w:eastAsia="Times New Roman" w:hAnsiTheme="minorHAnsi" w:cstheme="minorHAnsi"/>
                <w:sz w:val="20"/>
                <w:szCs w:val="20"/>
                <w:lang w:eastAsia="en-GB"/>
              </w:rPr>
              <w:t>eputising for Virginia Graham</w:t>
            </w: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jc w:val="right"/>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17</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Renewable UK</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Indre</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Vaizgelaite</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IV</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jc w:val="right"/>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18</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Scottish Government</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Rebecca</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Carr</w:t>
            </w:r>
          </w:p>
        </w:tc>
        <w:tc>
          <w:tcPr>
            <w:tcW w:w="651" w:type="dxa"/>
            <w:tcBorders>
              <w:top w:val="nil"/>
              <w:left w:val="single" w:sz="2" w:space="0" w:color="58586E" w:themeColor="background1" w:themeShade="80"/>
              <w:bottom w:val="nil"/>
              <w:right w:val="single" w:sz="2" w:space="0" w:color="58586E" w:themeColor="background1" w:themeShade="80"/>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r w:rsidRPr="00D349C7">
              <w:rPr>
                <w:rFonts w:asciiTheme="minorHAnsi" w:eastAsia="Times New Roman" w:hAnsiTheme="minorHAnsi" w:cstheme="minorHAnsi"/>
                <w:sz w:val="22"/>
                <w:lang w:eastAsia="en-GB"/>
              </w:rPr>
              <w:t>RC</w:t>
            </w:r>
          </w:p>
        </w:tc>
        <w:tc>
          <w:tcPr>
            <w:tcW w:w="2946" w:type="dxa"/>
            <w:tcBorders>
              <w:top w:val="nil"/>
              <w:left w:val="single" w:sz="2" w:space="0" w:color="58586E" w:themeColor="background1" w:themeShade="80"/>
              <w:bottom w:val="nil"/>
              <w:right w:val="nil"/>
            </w:tcBorders>
            <w:shd w:val="clear" w:color="auto" w:fill="auto"/>
            <w:noWrap/>
            <w:vAlign w:val="center"/>
            <w:hideMark/>
          </w:tcPr>
          <w:p w:rsidR="00D349C7" w:rsidRPr="00A34888" w:rsidRDefault="005A7EBE" w:rsidP="00F95514">
            <w:pPr>
              <w:spacing w:after="0" w:line="240" w:lineRule="auto"/>
              <w:contextualSpacing/>
              <w:rPr>
                <w:rFonts w:asciiTheme="minorHAnsi" w:eastAsia="Times New Roman" w:hAnsiTheme="minorHAnsi" w:cstheme="minorHAnsi"/>
                <w:sz w:val="20"/>
                <w:szCs w:val="20"/>
                <w:lang w:eastAsia="en-GB"/>
              </w:rPr>
            </w:pPr>
            <w:r>
              <w:rPr>
                <w:rFonts w:asciiTheme="minorHAnsi" w:eastAsia="Times New Roman" w:hAnsiTheme="minorHAnsi" w:cstheme="minorHAnsi"/>
                <w:sz w:val="20"/>
                <w:szCs w:val="20"/>
                <w:lang w:eastAsia="en-GB"/>
              </w:rPr>
              <w:t>(telephone)</w:t>
            </w:r>
          </w:p>
        </w:tc>
      </w:tr>
      <w:tr w:rsidR="00D349C7" w:rsidRPr="0050513A" w:rsidTr="00F95514">
        <w:trPr>
          <w:trHeight w:val="420"/>
          <w:jc w:val="center"/>
        </w:trPr>
        <w:tc>
          <w:tcPr>
            <w:tcW w:w="0" w:type="auto"/>
            <w:tcBorders>
              <w:top w:val="nil"/>
              <w:left w:val="nil"/>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p>
        </w:tc>
        <w:tc>
          <w:tcPr>
            <w:tcW w:w="4828" w:type="dxa"/>
            <w:gridSpan w:val="3"/>
            <w:tcBorders>
              <w:top w:val="single" w:sz="2" w:space="0" w:color="58586E" w:themeColor="background1" w:themeShade="80"/>
              <w:left w:val="nil"/>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b/>
                <w:bCs/>
                <w:sz w:val="22"/>
                <w:lang w:eastAsia="en-GB"/>
              </w:rPr>
            </w:pPr>
            <w:r w:rsidRPr="0050513A">
              <w:rPr>
                <w:rFonts w:asciiTheme="minorHAnsi" w:eastAsia="Times New Roman" w:hAnsiTheme="minorHAnsi" w:cstheme="minorHAnsi"/>
                <w:b/>
                <w:bCs/>
                <w:sz w:val="22"/>
                <w:lang w:eastAsia="en-GB"/>
              </w:rPr>
              <w:t>Apologies</w:t>
            </w:r>
          </w:p>
        </w:tc>
        <w:tc>
          <w:tcPr>
            <w:tcW w:w="651" w:type="dxa"/>
            <w:tcBorders>
              <w:top w:val="nil"/>
              <w:left w:val="nil"/>
              <w:bottom w:val="nil"/>
              <w:right w:val="nil"/>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p>
        </w:tc>
        <w:tc>
          <w:tcPr>
            <w:tcW w:w="2946" w:type="dxa"/>
            <w:tcBorders>
              <w:top w:val="nil"/>
              <w:left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5A7EBE"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5A7EBE"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1</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CHPA</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Ian</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Manders</w:t>
            </w:r>
          </w:p>
        </w:tc>
        <w:tc>
          <w:tcPr>
            <w:tcW w:w="651" w:type="dxa"/>
            <w:tcBorders>
              <w:top w:val="nil"/>
              <w:left w:val="single" w:sz="2" w:space="0" w:color="58586E" w:themeColor="background1" w:themeShade="80"/>
              <w:bottom w:val="nil"/>
            </w:tcBorders>
          </w:tcPr>
          <w:p w:rsidR="005A7EBE" w:rsidRPr="00D349C7" w:rsidRDefault="005A7EBE" w:rsidP="00F95514">
            <w:pPr>
              <w:spacing w:after="0" w:line="240" w:lineRule="auto"/>
              <w:contextualSpacing/>
              <w:jc w:val="center"/>
              <w:rPr>
                <w:rFonts w:asciiTheme="minorHAnsi" w:eastAsia="Times New Roman" w:hAnsiTheme="minorHAnsi" w:cstheme="minorHAnsi"/>
                <w:sz w:val="22"/>
                <w:lang w:eastAsia="en-GB"/>
              </w:rPr>
            </w:pPr>
          </w:p>
        </w:tc>
        <w:tc>
          <w:tcPr>
            <w:tcW w:w="2946" w:type="dxa"/>
            <w:tcBorders>
              <w:top w:val="nil"/>
              <w:bottom w:val="nil"/>
              <w:right w:val="nil"/>
            </w:tcBorders>
            <w:shd w:val="clear" w:color="auto" w:fill="auto"/>
            <w:noWrap/>
            <w:vAlign w:val="center"/>
            <w:hideMark/>
          </w:tcPr>
          <w:p w:rsidR="005A7EBE" w:rsidRPr="00A34888" w:rsidRDefault="005A7EBE" w:rsidP="00F95514">
            <w:pPr>
              <w:spacing w:after="0" w:line="240" w:lineRule="auto"/>
              <w:contextualSpacing/>
              <w:rPr>
                <w:rFonts w:asciiTheme="minorHAnsi" w:eastAsia="Times New Roman" w:hAnsiTheme="minorHAnsi" w:cstheme="minorHAnsi"/>
                <w:sz w:val="20"/>
                <w:szCs w:val="20"/>
                <w:lang w:eastAsia="en-GB"/>
              </w:rPr>
            </w:pPr>
          </w:p>
        </w:tc>
      </w:tr>
      <w:tr w:rsidR="00FD4E3E"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FD4E3E"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2</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FD4E3E" w:rsidRPr="0050513A" w:rsidRDefault="00FD4E3E" w:rsidP="00F95514">
            <w:pPr>
              <w:spacing w:after="0" w:line="240" w:lineRule="auto"/>
              <w:contextualSpacing/>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Energy UK</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FD4E3E" w:rsidRPr="0050513A" w:rsidRDefault="00FD4E3E" w:rsidP="00F95514">
            <w:pPr>
              <w:spacing w:after="0" w:line="240" w:lineRule="auto"/>
              <w:contextualSpacing/>
              <w:rPr>
                <w:rFonts w:asciiTheme="minorHAnsi" w:eastAsia="Times New Roman" w:hAnsiTheme="minorHAnsi" w:cstheme="minorHAnsi"/>
                <w:sz w:val="22"/>
                <w:lang w:eastAsia="en-GB"/>
              </w:rPr>
            </w:pPr>
            <w:proofErr w:type="spellStart"/>
            <w:r w:rsidRPr="0050513A">
              <w:rPr>
                <w:rFonts w:asciiTheme="minorHAnsi" w:eastAsia="Times New Roman" w:hAnsiTheme="minorHAnsi" w:cstheme="minorHAnsi"/>
                <w:sz w:val="22"/>
                <w:lang w:eastAsia="en-GB"/>
              </w:rPr>
              <w:t>Amisha</w:t>
            </w:r>
            <w:proofErr w:type="spellEnd"/>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FD4E3E" w:rsidRPr="0050513A" w:rsidRDefault="00FD4E3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Patel</w:t>
            </w:r>
          </w:p>
        </w:tc>
        <w:tc>
          <w:tcPr>
            <w:tcW w:w="651" w:type="dxa"/>
            <w:tcBorders>
              <w:top w:val="nil"/>
              <w:left w:val="single" w:sz="2" w:space="0" w:color="58586E" w:themeColor="background1" w:themeShade="80"/>
              <w:bottom w:val="nil"/>
            </w:tcBorders>
          </w:tcPr>
          <w:p w:rsidR="00FD4E3E" w:rsidRPr="00D349C7" w:rsidRDefault="00FD4E3E" w:rsidP="00F95514">
            <w:pPr>
              <w:spacing w:after="0" w:line="240" w:lineRule="auto"/>
              <w:contextualSpacing/>
              <w:jc w:val="center"/>
              <w:rPr>
                <w:rFonts w:asciiTheme="minorHAnsi" w:eastAsia="Times New Roman" w:hAnsiTheme="minorHAnsi" w:cstheme="minorHAnsi"/>
                <w:sz w:val="22"/>
                <w:lang w:eastAsia="en-GB"/>
              </w:rPr>
            </w:pPr>
          </w:p>
        </w:tc>
        <w:tc>
          <w:tcPr>
            <w:tcW w:w="2946" w:type="dxa"/>
            <w:tcBorders>
              <w:top w:val="nil"/>
              <w:bottom w:val="nil"/>
              <w:right w:val="nil"/>
            </w:tcBorders>
            <w:shd w:val="clear" w:color="auto" w:fill="auto"/>
            <w:noWrap/>
            <w:vAlign w:val="center"/>
            <w:hideMark/>
          </w:tcPr>
          <w:p w:rsidR="00FD4E3E" w:rsidRPr="00A34888" w:rsidRDefault="00FD4E3E" w:rsidP="00F95514">
            <w:pPr>
              <w:spacing w:after="0" w:line="240" w:lineRule="auto"/>
              <w:contextualSpacing/>
              <w:rPr>
                <w:rFonts w:asciiTheme="minorHAnsi" w:eastAsia="Times New Roman" w:hAnsiTheme="minorHAnsi" w:cstheme="minorHAnsi"/>
                <w:sz w:val="20"/>
                <w:szCs w:val="20"/>
                <w:lang w:eastAsia="en-GB"/>
              </w:rPr>
            </w:pPr>
          </w:p>
        </w:tc>
      </w:tr>
      <w:tr w:rsidR="005A7EBE"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5A7EBE"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3</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proofErr w:type="spellStart"/>
            <w:r w:rsidRPr="0050513A">
              <w:rPr>
                <w:rFonts w:asciiTheme="minorHAnsi" w:eastAsia="Times New Roman" w:hAnsiTheme="minorHAnsi" w:cstheme="minorHAnsi"/>
                <w:sz w:val="22"/>
                <w:lang w:eastAsia="en-GB"/>
              </w:rPr>
              <w:t>SummitSkills</w:t>
            </w:r>
            <w:proofErr w:type="spellEnd"/>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Nigel</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5A7EBE" w:rsidRPr="0050513A" w:rsidRDefault="005A7EBE"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 xml:space="preserve">Hollett </w:t>
            </w:r>
          </w:p>
        </w:tc>
        <w:tc>
          <w:tcPr>
            <w:tcW w:w="651" w:type="dxa"/>
            <w:tcBorders>
              <w:top w:val="nil"/>
              <w:left w:val="single" w:sz="2" w:space="0" w:color="58586E" w:themeColor="background1" w:themeShade="80"/>
              <w:bottom w:val="nil"/>
            </w:tcBorders>
          </w:tcPr>
          <w:p w:rsidR="005A7EBE" w:rsidRPr="00D349C7" w:rsidRDefault="005A7EBE" w:rsidP="00F95514">
            <w:pPr>
              <w:spacing w:after="0" w:line="240" w:lineRule="auto"/>
              <w:contextualSpacing/>
              <w:jc w:val="center"/>
              <w:rPr>
                <w:rFonts w:asciiTheme="minorHAnsi" w:eastAsia="Times New Roman" w:hAnsiTheme="minorHAnsi" w:cstheme="minorHAnsi"/>
                <w:sz w:val="22"/>
                <w:lang w:eastAsia="en-GB"/>
              </w:rPr>
            </w:pPr>
          </w:p>
        </w:tc>
        <w:tc>
          <w:tcPr>
            <w:tcW w:w="2946" w:type="dxa"/>
            <w:tcBorders>
              <w:top w:val="nil"/>
              <w:bottom w:val="nil"/>
              <w:right w:val="nil"/>
            </w:tcBorders>
            <w:shd w:val="clear" w:color="auto" w:fill="auto"/>
            <w:noWrap/>
            <w:vAlign w:val="center"/>
            <w:hideMark/>
          </w:tcPr>
          <w:p w:rsidR="005A7EBE" w:rsidRPr="00A34888" w:rsidRDefault="005A7EBE"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420"/>
          <w:jc w:val="center"/>
        </w:trPr>
        <w:tc>
          <w:tcPr>
            <w:tcW w:w="0" w:type="auto"/>
            <w:tcBorders>
              <w:left w:val="nil"/>
              <w:bottom w:val="nil"/>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p>
        </w:tc>
        <w:tc>
          <w:tcPr>
            <w:tcW w:w="4828" w:type="dxa"/>
            <w:gridSpan w:val="3"/>
            <w:tcBorders>
              <w:top w:val="single" w:sz="2" w:space="0" w:color="58586E" w:themeColor="background1" w:themeShade="80"/>
              <w:left w:val="nil"/>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b/>
                <w:bCs/>
                <w:sz w:val="22"/>
                <w:lang w:eastAsia="en-GB"/>
              </w:rPr>
            </w:pPr>
            <w:r w:rsidRPr="0050513A">
              <w:rPr>
                <w:rFonts w:asciiTheme="minorHAnsi" w:eastAsia="Times New Roman" w:hAnsiTheme="minorHAnsi" w:cstheme="minorHAnsi"/>
                <w:b/>
                <w:bCs/>
                <w:sz w:val="22"/>
                <w:lang w:eastAsia="en-GB"/>
              </w:rPr>
              <w:t>Did not attend</w:t>
            </w:r>
          </w:p>
        </w:tc>
        <w:tc>
          <w:tcPr>
            <w:tcW w:w="651" w:type="dxa"/>
            <w:tcBorders>
              <w:top w:val="nil"/>
              <w:left w:val="nil"/>
              <w:bottom w:val="nil"/>
              <w:right w:val="nil"/>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p>
        </w:tc>
        <w:tc>
          <w:tcPr>
            <w:tcW w:w="2946" w:type="dxa"/>
            <w:tcBorders>
              <w:top w:val="nil"/>
              <w:left w:val="nil"/>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1</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 xml:space="preserve">FETA  </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 xml:space="preserve">Terry </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Seward</w:t>
            </w:r>
          </w:p>
        </w:tc>
        <w:tc>
          <w:tcPr>
            <w:tcW w:w="651" w:type="dxa"/>
            <w:tcBorders>
              <w:top w:val="nil"/>
              <w:left w:val="single" w:sz="2" w:space="0" w:color="58586E" w:themeColor="background1" w:themeShade="80"/>
              <w:bottom w:val="nil"/>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p>
        </w:tc>
        <w:tc>
          <w:tcPr>
            <w:tcW w:w="2946" w:type="dxa"/>
            <w:tcBorders>
              <w:top w:val="nil"/>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r w:rsidR="00D349C7" w:rsidRPr="0050513A" w:rsidTr="00F95514">
        <w:trPr>
          <w:trHeight w:val="300"/>
          <w:jc w:val="center"/>
        </w:trPr>
        <w:tc>
          <w:tcPr>
            <w:tcW w:w="0" w:type="auto"/>
            <w:tcBorders>
              <w:top w:val="nil"/>
              <w:left w:val="nil"/>
              <w:bottom w:val="nil"/>
              <w:right w:val="single" w:sz="2" w:space="0" w:color="58586E" w:themeColor="background1" w:themeShade="80"/>
            </w:tcBorders>
            <w:shd w:val="clear" w:color="auto" w:fill="auto"/>
            <w:noWrap/>
            <w:vAlign w:val="center"/>
            <w:hideMark/>
          </w:tcPr>
          <w:p w:rsidR="00D349C7" w:rsidRPr="0050513A" w:rsidRDefault="00FD4E3E" w:rsidP="00F95514">
            <w:pPr>
              <w:spacing w:after="0" w:line="240" w:lineRule="auto"/>
              <w:contextualSpacing/>
              <w:jc w:val="right"/>
              <w:rPr>
                <w:rFonts w:asciiTheme="minorHAnsi" w:eastAsia="Times New Roman" w:hAnsiTheme="minorHAnsi" w:cstheme="minorHAnsi"/>
                <w:sz w:val="22"/>
                <w:lang w:eastAsia="en-GB"/>
              </w:rPr>
            </w:pPr>
            <w:r>
              <w:rPr>
                <w:rFonts w:asciiTheme="minorHAnsi" w:eastAsia="Times New Roman" w:hAnsiTheme="minorHAnsi" w:cstheme="minorHAnsi"/>
                <w:sz w:val="22"/>
                <w:lang w:eastAsia="en-GB"/>
              </w:rPr>
              <w:t>2</w:t>
            </w:r>
          </w:p>
        </w:tc>
        <w:tc>
          <w:tcPr>
            <w:tcW w:w="2216" w:type="dxa"/>
            <w:tcBorders>
              <w:top w:val="single" w:sz="2" w:space="0" w:color="58586E" w:themeColor="background1" w:themeShade="80"/>
              <w:left w:val="single" w:sz="2" w:space="0" w:color="58586E" w:themeColor="background1" w:themeShade="80"/>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LGA</w:t>
            </w:r>
          </w:p>
        </w:tc>
        <w:tc>
          <w:tcPr>
            <w:tcW w:w="1316" w:type="dxa"/>
            <w:tcBorders>
              <w:top w:val="single" w:sz="2" w:space="0" w:color="58586E" w:themeColor="background1" w:themeShade="80"/>
              <w:left w:val="single" w:sz="2" w:space="0" w:color="58586E" w:themeColor="background1" w:themeShade="80"/>
              <w:bottom w:val="single" w:sz="2" w:space="0" w:color="58586E" w:themeColor="background1" w:themeShade="80"/>
              <w:right w:val="nil"/>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Abigail</w:t>
            </w:r>
          </w:p>
        </w:tc>
        <w:tc>
          <w:tcPr>
            <w:tcW w:w="1296" w:type="dxa"/>
            <w:tcBorders>
              <w:top w:val="single" w:sz="2" w:space="0" w:color="58586E" w:themeColor="background1" w:themeShade="80"/>
              <w:left w:val="nil"/>
              <w:bottom w:val="single" w:sz="2" w:space="0" w:color="58586E" w:themeColor="background1" w:themeShade="80"/>
              <w:right w:val="single" w:sz="2" w:space="0" w:color="58586E" w:themeColor="background1" w:themeShade="80"/>
            </w:tcBorders>
            <w:shd w:val="clear" w:color="auto" w:fill="auto"/>
            <w:noWrap/>
            <w:vAlign w:val="center"/>
            <w:hideMark/>
          </w:tcPr>
          <w:p w:rsidR="00D349C7" w:rsidRPr="0050513A" w:rsidRDefault="00D349C7" w:rsidP="00F95514">
            <w:pPr>
              <w:spacing w:after="0" w:line="240" w:lineRule="auto"/>
              <w:contextualSpacing/>
              <w:rPr>
                <w:rFonts w:asciiTheme="minorHAnsi" w:eastAsia="Times New Roman" w:hAnsiTheme="minorHAnsi" w:cstheme="minorHAnsi"/>
                <w:sz w:val="22"/>
                <w:lang w:eastAsia="en-GB"/>
              </w:rPr>
            </w:pPr>
            <w:r w:rsidRPr="0050513A">
              <w:rPr>
                <w:rFonts w:asciiTheme="minorHAnsi" w:eastAsia="Times New Roman" w:hAnsiTheme="minorHAnsi" w:cstheme="minorHAnsi"/>
                <w:sz w:val="22"/>
                <w:lang w:eastAsia="en-GB"/>
              </w:rPr>
              <w:t xml:space="preserve">Burridge </w:t>
            </w:r>
          </w:p>
        </w:tc>
        <w:tc>
          <w:tcPr>
            <w:tcW w:w="651" w:type="dxa"/>
            <w:tcBorders>
              <w:top w:val="nil"/>
              <w:left w:val="single" w:sz="2" w:space="0" w:color="58586E" w:themeColor="background1" w:themeShade="80"/>
              <w:bottom w:val="nil"/>
            </w:tcBorders>
          </w:tcPr>
          <w:p w:rsidR="00D349C7" w:rsidRPr="00D349C7" w:rsidRDefault="00D349C7" w:rsidP="00F95514">
            <w:pPr>
              <w:spacing w:after="0" w:line="240" w:lineRule="auto"/>
              <w:contextualSpacing/>
              <w:jc w:val="center"/>
              <w:rPr>
                <w:rFonts w:asciiTheme="minorHAnsi" w:eastAsia="Times New Roman" w:hAnsiTheme="minorHAnsi" w:cstheme="minorHAnsi"/>
                <w:sz w:val="22"/>
                <w:lang w:eastAsia="en-GB"/>
              </w:rPr>
            </w:pPr>
          </w:p>
        </w:tc>
        <w:tc>
          <w:tcPr>
            <w:tcW w:w="2946" w:type="dxa"/>
            <w:tcBorders>
              <w:top w:val="nil"/>
              <w:bottom w:val="nil"/>
              <w:right w:val="nil"/>
            </w:tcBorders>
            <w:shd w:val="clear" w:color="auto" w:fill="auto"/>
            <w:noWrap/>
            <w:vAlign w:val="center"/>
            <w:hideMark/>
          </w:tcPr>
          <w:p w:rsidR="00D349C7" w:rsidRPr="00A34888" w:rsidRDefault="00D349C7" w:rsidP="00F95514">
            <w:pPr>
              <w:spacing w:after="0" w:line="240" w:lineRule="auto"/>
              <w:contextualSpacing/>
              <w:rPr>
                <w:rFonts w:asciiTheme="minorHAnsi" w:eastAsia="Times New Roman" w:hAnsiTheme="minorHAnsi" w:cstheme="minorHAnsi"/>
                <w:sz w:val="20"/>
                <w:szCs w:val="20"/>
                <w:lang w:eastAsia="en-GB"/>
              </w:rPr>
            </w:pPr>
          </w:p>
        </w:tc>
      </w:tr>
    </w:tbl>
    <w:p w:rsidR="00B967E6" w:rsidRDefault="00D33027" w:rsidP="00590B0C">
      <w:pPr>
        <w:pStyle w:val="Heading3"/>
      </w:pPr>
      <w:r>
        <w:t>EEPB's continuation of Facilitation of the MGICG</w:t>
      </w:r>
    </w:p>
    <w:p w:rsidR="00507A96" w:rsidRDefault="00D33027" w:rsidP="000D26E0">
      <w:r>
        <w:t xml:space="preserve">The Energy Efficiency Partnership for Buildings (EEPB) has become a company limited by guarantee and subsidiary of the National Energy Foundation, and has superseded the unincorporated Energy Efficiency Partnership for Homes (EEPH) as of 1 April. </w:t>
      </w:r>
    </w:p>
    <w:p w:rsidR="00D33027" w:rsidRDefault="00D33027" w:rsidP="000D26E0">
      <w:r>
        <w:t xml:space="preserve">The EEPB will continue the implementation of the Microgeneration Strategy Action Plan, now in its second year. </w:t>
      </w:r>
    </w:p>
    <w:p w:rsidR="00507A96" w:rsidRDefault="008632C8" w:rsidP="00507A96">
      <w:pPr>
        <w:pStyle w:val="Heading3"/>
      </w:pPr>
      <w:r>
        <w:t>Pending a</w:t>
      </w:r>
      <w:r w:rsidR="00D33027">
        <w:t xml:space="preserve">ctions </w:t>
      </w:r>
      <w:r w:rsidR="00507A96">
        <w:t>from last</w:t>
      </w:r>
      <w:r w:rsidR="00D33027">
        <w:t xml:space="preserve"> meeting</w:t>
      </w:r>
      <w:r>
        <w:t xml:space="preserve"> </w:t>
      </w:r>
    </w:p>
    <w:p w:rsidR="00D33027" w:rsidRDefault="00D33027" w:rsidP="00D33027">
      <w:pPr>
        <w:pStyle w:val="ListBullet"/>
        <w:numPr>
          <w:ilvl w:val="0"/>
          <w:numId w:val="9"/>
        </w:numPr>
        <w:ind w:left="851" w:hanging="284"/>
      </w:pPr>
      <w:r>
        <w:t xml:space="preserve">For details of the </w:t>
      </w:r>
      <w:r w:rsidR="00507A96">
        <w:t>"PV legal" project</w:t>
      </w:r>
      <w:r>
        <w:t xml:space="preserve">, visit </w:t>
      </w:r>
      <w:hyperlink r:id="rId9" w:history="1">
        <w:r w:rsidRPr="007507AA">
          <w:rPr>
            <w:rStyle w:val="Hyperlink"/>
          </w:rPr>
          <w:t>http://www.micropower.co.uk/pv-legal-project</w:t>
        </w:r>
      </w:hyperlink>
    </w:p>
    <w:p w:rsidR="00D33027" w:rsidRDefault="00D33027" w:rsidP="00507A96">
      <w:pPr>
        <w:pStyle w:val="ListBullet"/>
        <w:numPr>
          <w:ilvl w:val="0"/>
          <w:numId w:val="9"/>
        </w:numPr>
        <w:ind w:left="851" w:hanging="284"/>
      </w:pPr>
      <w:r>
        <w:t xml:space="preserve">On action 4, GB advised that MPC's </w:t>
      </w:r>
      <w:proofErr w:type="spellStart"/>
      <w:r w:rsidR="00507A96">
        <w:t>Microgen</w:t>
      </w:r>
      <w:proofErr w:type="spellEnd"/>
      <w:r w:rsidR="00507A96">
        <w:t xml:space="preserve"> Messaging Group </w:t>
      </w:r>
      <w:r>
        <w:t xml:space="preserve">is </w:t>
      </w:r>
      <w:r w:rsidR="00507A96">
        <w:t xml:space="preserve">suspended </w:t>
      </w:r>
      <w:r>
        <w:t xml:space="preserve">at </w:t>
      </w:r>
      <w:r w:rsidR="00507A96">
        <w:t>the moment</w:t>
      </w:r>
      <w:r>
        <w:t xml:space="preserve">, therefore no minutes can be circulated. </w:t>
      </w:r>
    </w:p>
    <w:p w:rsidR="00891B5C" w:rsidRDefault="00891B5C" w:rsidP="00507A96">
      <w:pPr>
        <w:pStyle w:val="ListBullet"/>
        <w:numPr>
          <w:ilvl w:val="0"/>
          <w:numId w:val="9"/>
        </w:numPr>
        <w:ind w:left="851" w:hanging="284"/>
      </w:pPr>
      <w:r>
        <w:lastRenderedPageBreak/>
        <w:t xml:space="preserve">There is work ongoing within DECC </w:t>
      </w:r>
      <w:r w:rsidR="00507A96">
        <w:t xml:space="preserve">to clarify </w:t>
      </w:r>
      <w:r>
        <w:t xml:space="preserve">the </w:t>
      </w:r>
      <w:r w:rsidR="00507A96">
        <w:t>relation between GD and incentives</w:t>
      </w:r>
      <w:r>
        <w:t xml:space="preserve"> such as RHI; PR will circulate a paper when available</w:t>
      </w:r>
      <w:r w:rsidR="008632C8">
        <w:t xml:space="preserve"> – remains </w:t>
      </w:r>
      <w:r w:rsidR="008632C8" w:rsidRPr="008632C8">
        <w:rPr>
          <w:b/>
        </w:rPr>
        <w:t>pending</w:t>
      </w:r>
      <w:r w:rsidR="008632C8">
        <w:t xml:space="preserve">. </w:t>
      </w:r>
    </w:p>
    <w:p w:rsidR="00507A96" w:rsidRDefault="008632C8" w:rsidP="00507A96">
      <w:pPr>
        <w:pStyle w:val="ListBullet"/>
        <w:numPr>
          <w:ilvl w:val="0"/>
          <w:numId w:val="9"/>
        </w:numPr>
        <w:ind w:left="851" w:hanging="284"/>
      </w:pPr>
      <w:r>
        <w:t xml:space="preserve">A Government-Industry Contact Group on Communities has been established. PR will update this group on progress – remains </w:t>
      </w:r>
      <w:r w:rsidRPr="008632C8">
        <w:rPr>
          <w:b/>
        </w:rPr>
        <w:t>pending</w:t>
      </w:r>
      <w:r>
        <w:t xml:space="preserve">. </w:t>
      </w:r>
    </w:p>
    <w:p w:rsidR="00507A96" w:rsidRDefault="008632C8" w:rsidP="008632C8">
      <w:pPr>
        <w:pStyle w:val="Heading3"/>
      </w:pPr>
      <w:r w:rsidRPr="008632C8">
        <w:t>Interim</w:t>
      </w:r>
      <w:r>
        <w:t xml:space="preserve"> </w:t>
      </w:r>
      <w:r w:rsidR="00507A96">
        <w:t>report</w:t>
      </w:r>
    </w:p>
    <w:p w:rsidR="00F33585" w:rsidRDefault="008632C8" w:rsidP="00507A96">
      <w:r>
        <w:t>On warranties,</w:t>
      </w:r>
      <w:r w:rsidR="00F33585">
        <w:t xml:space="preserve"> KB noted that </w:t>
      </w:r>
      <w:r>
        <w:t xml:space="preserve">minimum criteria and a </w:t>
      </w:r>
      <w:r w:rsidR="00507A96">
        <w:t>single warranty</w:t>
      </w:r>
      <w:r>
        <w:t xml:space="preserve"> </w:t>
      </w:r>
      <w:r w:rsidR="00F33585">
        <w:t xml:space="preserve">was </w:t>
      </w:r>
      <w:r w:rsidR="00871F75">
        <w:t xml:space="preserve">not what </w:t>
      </w:r>
      <w:r w:rsidR="00F33585">
        <w:t xml:space="preserve">had been agreed on the action plan originally.  </w:t>
      </w:r>
      <w:r w:rsidR="00F33585" w:rsidRPr="00F33585">
        <w:rPr>
          <w:b/>
        </w:rPr>
        <w:t>Action EEPB</w:t>
      </w:r>
      <w:r w:rsidR="00F33585">
        <w:t xml:space="preserve"> to deliverables (see discussion below). </w:t>
      </w:r>
    </w:p>
    <w:p w:rsidR="00871F75" w:rsidRDefault="00F33585" w:rsidP="00F33585">
      <w:r>
        <w:t xml:space="preserve">It was also noted that the Energy Saving Trust should be represented on the group or a subgroup. </w:t>
      </w:r>
    </w:p>
    <w:p w:rsidR="00871F75" w:rsidRDefault="00F95514" w:rsidP="00F95514">
      <w:pPr>
        <w:pStyle w:val="Heading3"/>
      </w:pPr>
      <w:r>
        <w:t>Next steps from workshops held 24</w:t>
      </w:r>
      <w:r w:rsidRPr="00F95514">
        <w:rPr>
          <w:vertAlign w:val="superscript"/>
        </w:rPr>
        <w:t>th</w:t>
      </w:r>
      <w:r>
        <w:t xml:space="preserve"> January</w:t>
      </w:r>
    </w:p>
    <w:p w:rsidR="00F95514" w:rsidRPr="00F95514" w:rsidRDefault="00F95514" w:rsidP="00F95514">
      <w:pPr>
        <w:pStyle w:val="Heading4"/>
      </w:pPr>
      <w:r>
        <w:t>Warranties</w:t>
      </w:r>
    </w:p>
    <w:p w:rsidR="00F95514" w:rsidRDefault="00F95514" w:rsidP="000D26E0">
      <w:r>
        <w:t xml:space="preserve">There are many </w:t>
      </w:r>
      <w:r w:rsidR="00857BF8">
        <w:t xml:space="preserve">consumer protection offers available, and the market is confusing. Under the Sale of Goods Act (SOGA), the installer is the "seller" responsible for kit and fit, but the level of protection offered under the SOGA is not widely known to consumers and there is no understanding how it could be claimed. The length of its applicability is also not clear. </w:t>
      </w:r>
    </w:p>
    <w:p w:rsidR="00D07E44" w:rsidRDefault="00857BF8" w:rsidP="000D26E0">
      <w:r>
        <w:t xml:space="preserve">A final version of the paper </w:t>
      </w:r>
      <w:hyperlink r:id="rId10" w:history="1">
        <w:r w:rsidRPr="00857BF8">
          <w:rPr>
            <w:rStyle w:val="Hyperlink"/>
          </w:rPr>
          <w:t>circulated prior to the meeting</w:t>
        </w:r>
      </w:hyperlink>
      <w:r>
        <w:t xml:space="preserve"> could be made available to consumers on a website. Examples of schemes could also be named. </w:t>
      </w:r>
      <w:r w:rsidR="00D07E44">
        <w:t xml:space="preserve">This could then be submitted to EST to inform the advice provided under the GD advice line. </w:t>
      </w:r>
    </w:p>
    <w:p w:rsidR="00857BF8" w:rsidRDefault="009A04A3" w:rsidP="00D07E44">
      <w:pPr>
        <w:pStyle w:val="ListBullet"/>
        <w:numPr>
          <w:ilvl w:val="0"/>
          <w:numId w:val="10"/>
        </w:numPr>
      </w:pPr>
      <w:r>
        <w:t xml:space="preserve">CY mentioned that for many mechanical systems, annual servicing is a requirement to keep warranty cover. </w:t>
      </w:r>
      <w:r w:rsidRPr="009A04A3">
        <w:rPr>
          <w:b/>
        </w:rPr>
        <w:t>Action KB</w:t>
      </w:r>
      <w:r>
        <w:t xml:space="preserve"> to update paper. </w:t>
      </w:r>
    </w:p>
    <w:p w:rsidR="00F95514" w:rsidRDefault="009A04A3" w:rsidP="00D07E44">
      <w:pPr>
        <w:pStyle w:val="ListParagraph"/>
        <w:numPr>
          <w:ilvl w:val="0"/>
          <w:numId w:val="10"/>
        </w:numPr>
      </w:pPr>
      <w:r>
        <w:t xml:space="preserve">Consumers need to be made aware that the commissioned state, as per the design specification, is covered. Consumers may well want to adjust settings with seasonal </w:t>
      </w:r>
      <w:r w:rsidR="00D07E44">
        <w:t xml:space="preserve">or demand </w:t>
      </w:r>
      <w:r>
        <w:t xml:space="preserve">variations, but risk losing protection if they do. </w:t>
      </w:r>
    </w:p>
    <w:p w:rsidR="009A04A3" w:rsidRDefault="009A04A3" w:rsidP="00D07E44">
      <w:pPr>
        <w:pStyle w:val="ListParagraph"/>
        <w:numPr>
          <w:ilvl w:val="0"/>
          <w:numId w:val="10"/>
        </w:numPr>
      </w:pPr>
      <w:r>
        <w:t>The "fitness for purpose" of the SOGA would include a performance within the specified range</w:t>
      </w:r>
      <w:r w:rsidR="00D07E44">
        <w:t xml:space="preserve"> ("as promised"), but in practice this is impossible or very expensive to measure. </w:t>
      </w:r>
    </w:p>
    <w:p w:rsidR="00D07E44" w:rsidRDefault="00D07E44" w:rsidP="00D07E44">
      <w:pPr>
        <w:pStyle w:val="ListParagraph"/>
        <w:numPr>
          <w:ilvl w:val="0"/>
          <w:numId w:val="10"/>
        </w:numPr>
      </w:pPr>
      <w:r>
        <w:t xml:space="preserve">Consistency is needed among CPSs, MCS and GD, all of which will be UKAS accredited (CPSs within 2 years of 6 June 2012), but there is concern among insurers that the three will have different sets of requirements. </w:t>
      </w:r>
    </w:p>
    <w:p w:rsidR="00D07E44" w:rsidRDefault="00D07E44" w:rsidP="00D07E44">
      <w:pPr>
        <w:pStyle w:val="ListParagraph"/>
        <w:numPr>
          <w:ilvl w:val="0"/>
          <w:numId w:val="10"/>
        </w:numPr>
      </w:pPr>
      <w:r>
        <w:t>RS proposed a minimum basic insurance requirement</w:t>
      </w:r>
      <w:r w:rsidR="00B71C91">
        <w:t xml:space="preserve"> that applies to all installations (MCS or not), </w:t>
      </w:r>
      <w:r>
        <w:t>paid by industry</w:t>
      </w:r>
      <w:r w:rsidR="00B71C91">
        <w:t xml:space="preserve">. He also proposed </w:t>
      </w:r>
      <w:r>
        <w:t xml:space="preserve">making UK-backed insurance mandatory for all imported components. </w:t>
      </w:r>
    </w:p>
    <w:p w:rsidR="00D07E44" w:rsidRDefault="00D07E44" w:rsidP="00D07E44">
      <w:pPr>
        <w:pStyle w:val="ListParagraph"/>
        <w:numPr>
          <w:ilvl w:val="0"/>
          <w:numId w:val="10"/>
        </w:numPr>
      </w:pPr>
      <w:r>
        <w:t xml:space="preserve">KW raised professional indemnity insurance as another possible requirement. </w:t>
      </w:r>
    </w:p>
    <w:p w:rsidR="00B71C91" w:rsidRDefault="00B71C91" w:rsidP="00D07E44">
      <w:pPr>
        <w:pStyle w:val="ListParagraph"/>
        <w:numPr>
          <w:ilvl w:val="0"/>
          <w:numId w:val="10"/>
        </w:numPr>
      </w:pPr>
      <w:r>
        <w:t xml:space="preserve">Insurers have no means of gauging the risk for complex systems, therefore insurance costs will initially be high, and will get adjusted with experience. </w:t>
      </w:r>
    </w:p>
    <w:p w:rsidR="00B71C91" w:rsidRDefault="00B71C91" w:rsidP="00D07E44">
      <w:pPr>
        <w:pStyle w:val="ListParagraph"/>
        <w:numPr>
          <w:ilvl w:val="0"/>
          <w:numId w:val="10"/>
        </w:numPr>
      </w:pPr>
      <w:r>
        <w:t xml:space="preserve">RS offered to invite an insurance provider to present at the next meeting </w:t>
      </w:r>
      <w:r w:rsidRPr="00B71C91">
        <w:rPr>
          <w:b/>
        </w:rPr>
        <w:t>action</w:t>
      </w:r>
      <w:r>
        <w:t xml:space="preserve">. </w:t>
      </w:r>
    </w:p>
    <w:p w:rsidR="00B71C91" w:rsidRDefault="00212512" w:rsidP="00B71C91">
      <w:r w:rsidRPr="00212512">
        <w:rPr>
          <w:b/>
        </w:rPr>
        <w:t>Action</w:t>
      </w:r>
      <w:r>
        <w:rPr>
          <w:b/>
        </w:rPr>
        <w:t>:</w:t>
      </w:r>
      <w:r w:rsidRPr="00212512">
        <w:rPr>
          <w:b/>
        </w:rPr>
        <w:t xml:space="preserve"> </w:t>
      </w:r>
      <w:r w:rsidR="00B71C91" w:rsidRPr="00212512">
        <w:rPr>
          <w:b/>
        </w:rPr>
        <w:t>EEPB</w:t>
      </w:r>
      <w:r w:rsidR="00B71C91">
        <w:t xml:space="preserve"> will set up a </w:t>
      </w:r>
      <w:proofErr w:type="spellStart"/>
      <w:r w:rsidR="00B71C91">
        <w:t>taskgroup</w:t>
      </w:r>
      <w:proofErr w:type="spellEnd"/>
      <w:r w:rsidR="00B71C91">
        <w:t xml:space="preserve"> around w</w:t>
      </w:r>
      <w:r>
        <w:t xml:space="preserve">arranties / consumer protection. </w:t>
      </w:r>
    </w:p>
    <w:p w:rsidR="00212512" w:rsidRDefault="00212512" w:rsidP="005B4E1F">
      <w:pPr>
        <w:pStyle w:val="Heading4"/>
      </w:pPr>
      <w:r>
        <w:lastRenderedPageBreak/>
        <w:t>Consumer Messaging</w:t>
      </w:r>
    </w:p>
    <w:p w:rsidR="00B461AF" w:rsidRDefault="00212512" w:rsidP="00212512">
      <w:r>
        <w:t>The EST factsheets were discussed at the 24 Jan workshop. The</w:t>
      </w:r>
      <w:r w:rsidR="00CB2BB3">
        <w:t xml:space="preserve">y </w:t>
      </w:r>
      <w:r>
        <w:t>are being updated more often than in the past</w:t>
      </w:r>
      <w:r w:rsidR="00CB2BB3">
        <w:t>, and t</w:t>
      </w:r>
      <w:r w:rsidR="00B461AF">
        <w:t xml:space="preserve">here needs to be a systematic way for industry to input data evidence into these. Core business for EST will be to provide the GD advice service, so the </w:t>
      </w:r>
      <w:proofErr w:type="spellStart"/>
      <w:r w:rsidR="00B461AF">
        <w:t>microgen</w:t>
      </w:r>
      <w:proofErr w:type="spellEnd"/>
      <w:r w:rsidR="00B461AF">
        <w:t xml:space="preserve"> data may only be maintained where commercial</w:t>
      </w:r>
      <w:r w:rsidR="00CB2BB3">
        <w:t>ly</w:t>
      </w:r>
      <w:r w:rsidR="00B461AF">
        <w:t xml:space="preserve"> relevant to EST. </w:t>
      </w:r>
    </w:p>
    <w:p w:rsidR="00B461AF" w:rsidRDefault="00212512" w:rsidP="00B461AF">
      <w:pPr>
        <w:pStyle w:val="ListParagraph"/>
        <w:numPr>
          <w:ilvl w:val="0"/>
          <w:numId w:val="11"/>
        </w:numPr>
      </w:pPr>
      <w:r>
        <w:t xml:space="preserve">MCS are exploring whether actual costs could be submitted </w:t>
      </w:r>
      <w:r w:rsidR="00B461AF">
        <w:t xml:space="preserve">to MCS </w:t>
      </w:r>
      <w:r>
        <w:t xml:space="preserve">when registering an installation. This real data could be averaged and published in </w:t>
      </w:r>
      <w:r w:rsidR="00B461AF">
        <w:t xml:space="preserve">constantly updated </w:t>
      </w:r>
      <w:r>
        <w:t xml:space="preserve">online dashboards. </w:t>
      </w:r>
    </w:p>
    <w:p w:rsidR="00212512" w:rsidRDefault="00B461AF" w:rsidP="00B461AF">
      <w:pPr>
        <w:pStyle w:val="ListParagraph"/>
        <w:numPr>
          <w:ilvl w:val="0"/>
          <w:numId w:val="11"/>
        </w:numPr>
      </w:pPr>
      <w:r>
        <w:t xml:space="preserve">RS mentioned that BPVA is collaborating with EST on rolling out 500 sponsored smart meters from which live data is collected. </w:t>
      </w:r>
      <w:r w:rsidR="004B6D38">
        <w:t>He also said that DECC published a</w:t>
      </w:r>
      <w:r w:rsidR="007B349A">
        <w:t xml:space="preserve"> concise GD Guide for consumers</w:t>
      </w:r>
      <w:r w:rsidR="00EB3B17">
        <w:rPr>
          <w:rStyle w:val="FootnoteReference"/>
        </w:rPr>
        <w:footnoteReference w:id="1"/>
      </w:r>
      <w:r w:rsidR="007B349A">
        <w:t xml:space="preserve">, and that </w:t>
      </w:r>
      <w:r w:rsidR="003D3C5A">
        <w:t xml:space="preserve">BPVA </w:t>
      </w:r>
      <w:r w:rsidR="007A31CE">
        <w:t xml:space="preserve">are also </w:t>
      </w:r>
      <w:r w:rsidR="0018239C">
        <w:t xml:space="preserve">producing </w:t>
      </w:r>
      <w:r w:rsidR="007A31CE">
        <w:t>40-</w:t>
      </w:r>
      <w:r w:rsidR="0018239C">
        <w:t>60sec prime time television advertisement features</w:t>
      </w:r>
      <w:r w:rsidR="007A31CE" w:rsidRPr="007A31CE">
        <w:t xml:space="preserve"> </w:t>
      </w:r>
      <w:r w:rsidR="007A31CE">
        <w:t>on the benefits of PV and different applications</w:t>
      </w:r>
      <w:r w:rsidR="0018239C">
        <w:t xml:space="preserve">, incl. 20sec from </w:t>
      </w:r>
      <w:r w:rsidR="007A31CE">
        <w:t>Greg Barker.</w:t>
      </w:r>
      <w:r w:rsidR="00EB3B17">
        <w:t xml:space="preserve"> These will also contain a link to the new National Energy Card.</w:t>
      </w:r>
    </w:p>
    <w:p w:rsidR="00B461AF" w:rsidRDefault="00B461AF" w:rsidP="00B461AF">
      <w:r w:rsidRPr="00B461AF">
        <w:rPr>
          <w:b/>
        </w:rPr>
        <w:t>Action: EEPB</w:t>
      </w:r>
      <w:r w:rsidRPr="00B461AF">
        <w:t xml:space="preserve"> will set up a </w:t>
      </w:r>
      <w:proofErr w:type="spellStart"/>
      <w:r w:rsidRPr="00B461AF">
        <w:t>taskgroup</w:t>
      </w:r>
      <w:proofErr w:type="spellEnd"/>
      <w:r w:rsidRPr="00B461AF">
        <w:t xml:space="preserve"> around consumer </w:t>
      </w:r>
      <w:r>
        <w:t>messaging, inviting Ian Cuthbert of EST</w:t>
      </w:r>
      <w:r w:rsidRPr="00B461AF">
        <w:t>.</w:t>
      </w:r>
    </w:p>
    <w:p w:rsidR="00CB2BB3" w:rsidRDefault="00CB2BB3" w:rsidP="00CB2BB3">
      <w:pPr>
        <w:pStyle w:val="Heading4"/>
      </w:pPr>
      <w:r>
        <w:t xml:space="preserve">SAP and recognition of </w:t>
      </w:r>
      <w:proofErr w:type="spellStart"/>
      <w:r>
        <w:t>FiT</w:t>
      </w:r>
      <w:proofErr w:type="spellEnd"/>
      <w:r>
        <w:t xml:space="preserve"> revenue on EPCs</w:t>
      </w:r>
    </w:p>
    <w:p w:rsidR="004B6D38" w:rsidRDefault="004B6D38" w:rsidP="00CB2BB3">
      <w:r>
        <w:t xml:space="preserve">The SAP consultation closed on 28 March. </w:t>
      </w:r>
      <w:r w:rsidRPr="004B6D38">
        <w:rPr>
          <w:b/>
        </w:rPr>
        <w:t>Action PR</w:t>
      </w:r>
      <w:r>
        <w:t xml:space="preserve"> to ask within </w:t>
      </w:r>
      <w:proofErr w:type="gramStart"/>
      <w:r>
        <w:t>DECC</w:t>
      </w:r>
      <w:proofErr w:type="gramEnd"/>
      <w:r>
        <w:t xml:space="preserve"> about the timelines for the Government response, </w:t>
      </w:r>
      <w:r w:rsidRPr="004B6D38">
        <w:rPr>
          <w:b/>
        </w:rPr>
        <w:t>and</w:t>
      </w:r>
      <w:r>
        <w:t xml:space="preserve"> invite Alan Christie to the next meeting. A SAP Integrity Group has also been set up by DECC but this hasn't met yet. The software developers require a 12 month lead time for the implementation of the revised SAP regulation.</w:t>
      </w:r>
    </w:p>
    <w:p w:rsidR="00CB2BB3" w:rsidRDefault="004B6D38" w:rsidP="00CB2BB3">
      <w:r w:rsidRPr="004B6D38">
        <w:rPr>
          <w:b/>
        </w:rPr>
        <w:t xml:space="preserve">Action MPC </w:t>
      </w:r>
      <w:r w:rsidRPr="004B6D38">
        <w:t>and</w:t>
      </w:r>
      <w:r w:rsidRPr="004B6D38">
        <w:rPr>
          <w:b/>
        </w:rPr>
        <w:t xml:space="preserve"> EEPB</w:t>
      </w:r>
      <w:r>
        <w:t xml:space="preserve"> to form a </w:t>
      </w:r>
      <w:proofErr w:type="spellStart"/>
      <w:r>
        <w:t>taskgroup</w:t>
      </w:r>
      <w:proofErr w:type="spellEnd"/>
      <w:r>
        <w:t xml:space="preserve"> on SAP, including specialists, to look at </w:t>
      </w:r>
      <w:hyperlink r:id="rId11" w:history="1">
        <w:r w:rsidRPr="004B6D38">
          <w:rPr>
            <w:rStyle w:val="Hyperlink"/>
          </w:rPr>
          <w:t xml:space="preserve">BRE's responses </w:t>
        </w:r>
      </w:hyperlink>
      <w:r>
        <w:t xml:space="preserve">to the points </w:t>
      </w:r>
      <w:proofErr w:type="gramStart"/>
      <w:r>
        <w:t>raised</w:t>
      </w:r>
      <w:proofErr w:type="gramEnd"/>
      <w:r>
        <w:t xml:space="preserve"> in the group's "s</w:t>
      </w:r>
      <w:r w:rsidR="00703951">
        <w:t xml:space="preserve">nag list" as well as by the </w:t>
      </w:r>
      <w:r>
        <w:t xml:space="preserve">Zero Carbon Hub, and discuss items which have not been resolved. </w:t>
      </w:r>
    </w:p>
    <w:p w:rsidR="004B6D38" w:rsidRDefault="004B6D38" w:rsidP="004B6D38">
      <w:pPr>
        <w:pStyle w:val="ListParagraph"/>
        <w:numPr>
          <w:ilvl w:val="0"/>
          <w:numId w:val="12"/>
        </w:numPr>
      </w:pPr>
      <w:r>
        <w:t xml:space="preserve">SAP will continue to be used as a reference for estimating savings, and major concerns remain on the assumptions and data used and the tool's inflexibility. </w:t>
      </w:r>
    </w:p>
    <w:p w:rsidR="004B6D38" w:rsidRDefault="004B6D38" w:rsidP="004B6D38">
      <w:pPr>
        <w:pStyle w:val="ListParagraph"/>
        <w:numPr>
          <w:ilvl w:val="0"/>
          <w:numId w:val="12"/>
        </w:numPr>
      </w:pPr>
      <w:r>
        <w:t>On data submitted by industry in support of proposed changes to SAP, it was discussed that this needs to be third party approved (e.g. it can be done by a manufacturer internally, but needs to be reviewed by an independent third party).</w:t>
      </w:r>
    </w:p>
    <w:p w:rsidR="0097023B" w:rsidRPr="00CB2BB3" w:rsidRDefault="0097023B" w:rsidP="0097023B">
      <w:r>
        <w:t xml:space="preserve">The feed-in tariffs are being revised to </w:t>
      </w:r>
      <w:proofErr w:type="spellStart"/>
      <w:r>
        <w:t>degress</w:t>
      </w:r>
      <w:proofErr w:type="spellEnd"/>
      <w:r>
        <w:t xml:space="preserve"> at regular intervals, but for a given installation, the tariff is fixed for 20 years. Recognising the </w:t>
      </w:r>
      <w:proofErr w:type="spellStart"/>
      <w:r>
        <w:t>FiT</w:t>
      </w:r>
      <w:proofErr w:type="spellEnd"/>
      <w:r>
        <w:t xml:space="preserve"> revenue on the EPC could therefore be relatively straightforward. </w:t>
      </w:r>
      <w:r w:rsidR="00484631">
        <w:t xml:space="preserve">This calculation would have to be done independently of SAP. </w:t>
      </w:r>
      <w:r>
        <w:t xml:space="preserve">Currently, </w:t>
      </w:r>
      <w:r w:rsidR="00484631">
        <w:t xml:space="preserve">only the revenue from electricity fed into the grid is recognised (at ROC level), and it is misleading to potential buyers that the full benefit of the installation is not recognised on the EPC. </w:t>
      </w:r>
    </w:p>
    <w:p w:rsidR="005B4E1F" w:rsidRDefault="005B4E1F" w:rsidP="00F95514">
      <w:pPr>
        <w:pStyle w:val="Heading3"/>
      </w:pPr>
      <w:r>
        <w:t>Technology Fact sheets – also see section 4.2</w:t>
      </w:r>
    </w:p>
    <w:p w:rsidR="005B4E1F" w:rsidRPr="005B4E1F" w:rsidRDefault="005B4E1F" w:rsidP="005B4E1F">
      <w:r>
        <w:t xml:space="preserve">Under the Renewable Energy Directive, </w:t>
      </w:r>
      <w:r w:rsidR="00F464C9">
        <w:t xml:space="preserve">Member States will be required to show how </w:t>
      </w:r>
      <w:r>
        <w:t xml:space="preserve">information and advice </w:t>
      </w:r>
      <w:r w:rsidR="00F464C9">
        <w:t xml:space="preserve">on small scale renewable technologies will </w:t>
      </w:r>
      <w:r>
        <w:t xml:space="preserve">be </w:t>
      </w:r>
      <w:r w:rsidR="00F464C9">
        <w:t xml:space="preserve">delivered </w:t>
      </w:r>
      <w:r>
        <w:t xml:space="preserve">for planners, architects, engineers etc. Awareness courses for training providers should be available through CIBSE and the HVCA. </w:t>
      </w:r>
    </w:p>
    <w:p w:rsidR="00F95514" w:rsidRDefault="00F95514" w:rsidP="00F95514">
      <w:pPr>
        <w:pStyle w:val="Heading3"/>
      </w:pPr>
      <w:r>
        <w:lastRenderedPageBreak/>
        <w:t>Grid connection</w:t>
      </w:r>
    </w:p>
    <w:p w:rsidR="000D2B1A" w:rsidRDefault="00484631" w:rsidP="000D2B1A">
      <w:r>
        <w:t xml:space="preserve">BEAMA </w:t>
      </w:r>
      <w:r w:rsidR="00ED4E95">
        <w:t>worked with the ENA to develop new standardised grid connections for heat pumps</w:t>
      </w:r>
      <w:r>
        <w:t>. There are three groups depending on the size of the HP</w:t>
      </w:r>
      <w:r w:rsidR="00ED4E95">
        <w:t>:</w:t>
      </w:r>
      <w:r>
        <w:t xml:space="preserve"> </w:t>
      </w:r>
      <w:r w:rsidR="00871F75">
        <w:t xml:space="preserve">group 1 </w:t>
      </w:r>
      <w:r>
        <w:t xml:space="preserve">is a simple connection, with a </w:t>
      </w:r>
      <w:r w:rsidR="00871F75">
        <w:t xml:space="preserve">short window </w:t>
      </w:r>
      <w:r>
        <w:t xml:space="preserve">for the DNO to object, while connections in </w:t>
      </w:r>
      <w:r w:rsidR="00871F75">
        <w:t xml:space="preserve">group 3 </w:t>
      </w:r>
      <w:r>
        <w:t xml:space="preserve">require </w:t>
      </w:r>
      <w:r w:rsidR="00871F75">
        <w:t>harmonics and flicker information</w:t>
      </w:r>
      <w:r>
        <w:t xml:space="preserve"> and</w:t>
      </w:r>
      <w:r w:rsidR="00871F75">
        <w:t xml:space="preserve"> take 90 days to approve, </w:t>
      </w:r>
      <w:r>
        <w:t xml:space="preserve">to give the </w:t>
      </w:r>
      <w:r w:rsidR="00871F75">
        <w:t xml:space="preserve">DNO </w:t>
      </w:r>
      <w:r>
        <w:t xml:space="preserve">time to update the grid in line with their obligation. </w:t>
      </w:r>
      <w:r w:rsidR="000D2B1A" w:rsidRPr="000D2B1A">
        <w:rPr>
          <w:b/>
        </w:rPr>
        <w:t>*Action KB</w:t>
      </w:r>
      <w:r w:rsidR="000D2B1A">
        <w:t xml:space="preserve"> to write a paper for the MCS Standards Management Group (SMG). </w:t>
      </w:r>
    </w:p>
    <w:p w:rsidR="000E093D" w:rsidRDefault="00484631" w:rsidP="000D26E0">
      <w:r>
        <w:t xml:space="preserve">The sign-off could be speeded up if </w:t>
      </w:r>
      <w:r w:rsidR="000E093D">
        <w:t xml:space="preserve">HP manufacturers </w:t>
      </w:r>
      <w:r>
        <w:t xml:space="preserve">were to </w:t>
      </w:r>
      <w:r w:rsidR="000E093D">
        <w:t xml:space="preserve">declare the </w:t>
      </w:r>
      <w:r>
        <w:t xml:space="preserve">required </w:t>
      </w:r>
      <w:r w:rsidR="000E093D">
        <w:t xml:space="preserve">information </w:t>
      </w:r>
      <w:r>
        <w:t xml:space="preserve">already </w:t>
      </w:r>
      <w:r w:rsidR="000E093D">
        <w:t>when registering with MCS</w:t>
      </w:r>
      <w:r>
        <w:t xml:space="preserve">. </w:t>
      </w:r>
      <w:r w:rsidR="000D2B1A">
        <w:t xml:space="preserve">This data could help DNOs identify hot spots for grid reinforcement, and could also be interesting for the DECC customer insight team. </w:t>
      </w:r>
    </w:p>
    <w:p w:rsidR="000E093D" w:rsidRDefault="000D2B1A" w:rsidP="000D2B1A">
      <w:pPr>
        <w:pStyle w:val="ListParagraph"/>
        <w:numPr>
          <w:ilvl w:val="0"/>
          <w:numId w:val="13"/>
        </w:numPr>
      </w:pPr>
      <w:r>
        <w:t xml:space="preserve">IV added that </w:t>
      </w:r>
      <w:r w:rsidR="000E093D">
        <w:t xml:space="preserve">Renewable UK also met with </w:t>
      </w:r>
      <w:r>
        <w:t xml:space="preserve">the </w:t>
      </w:r>
      <w:r w:rsidR="000E093D">
        <w:t>ENA</w:t>
      </w:r>
      <w:r>
        <w:t xml:space="preserve">, and that they are keen to </w:t>
      </w:r>
      <w:r w:rsidR="000E093D">
        <w:t>have a regular technical meeting</w:t>
      </w:r>
      <w:r>
        <w:t xml:space="preserve"> which spans across a range of technologies. </w:t>
      </w:r>
    </w:p>
    <w:p w:rsidR="000E093D" w:rsidRDefault="000D2B1A" w:rsidP="000D26E0">
      <w:pPr>
        <w:pStyle w:val="ListParagraph"/>
        <w:numPr>
          <w:ilvl w:val="0"/>
          <w:numId w:val="13"/>
        </w:numPr>
      </w:pPr>
      <w:r>
        <w:t xml:space="preserve">The National Solar Centre is coordinating work on </w:t>
      </w:r>
      <w:r w:rsidR="000E093D">
        <w:t>efficiency optimisation for solar PV, also looking at grid connection</w:t>
      </w:r>
      <w:r>
        <w:t xml:space="preserve">. Purpose of the MGICG could be to exchange information among the various groups and avoid duplication. </w:t>
      </w:r>
    </w:p>
    <w:p w:rsidR="005B4E1F" w:rsidRDefault="005B4E1F" w:rsidP="00CB2BB3">
      <w:pPr>
        <w:pStyle w:val="Heading3"/>
      </w:pPr>
      <w:r>
        <w:t>Update on implementation of the Action Plan – see action plan update report v5</w:t>
      </w:r>
    </w:p>
    <w:p w:rsidR="00CB2BB3" w:rsidRDefault="00CB2BB3" w:rsidP="005B4E1F">
      <w:pPr>
        <w:pStyle w:val="Heading3"/>
        <w:spacing w:before="240"/>
      </w:pPr>
      <w:r>
        <w:t>AOB</w:t>
      </w:r>
    </w:p>
    <w:p w:rsidR="00105551" w:rsidRDefault="00CB2BB3" w:rsidP="00105551">
      <w:pPr>
        <w:spacing w:line="240" w:lineRule="auto"/>
      </w:pPr>
      <w:r>
        <w:t xml:space="preserve">RS and GR reported on the foundation of the </w:t>
      </w:r>
      <w:r w:rsidR="00105551">
        <w:t>not-for-profit «</w:t>
      </w:r>
      <w:r w:rsidR="00306C42">
        <w:t xml:space="preserve">International </w:t>
      </w:r>
      <w:r w:rsidR="0006311E">
        <w:t xml:space="preserve">Renewable Energy </w:t>
      </w:r>
      <w:r w:rsidR="00306C42">
        <w:t>Certification Organisation</w:t>
      </w:r>
      <w:r w:rsidR="00105551">
        <w:t>»</w:t>
      </w:r>
      <w:r w:rsidR="00306C42">
        <w:t xml:space="preserve"> </w:t>
      </w:r>
      <w:r>
        <w:t xml:space="preserve">(IRECO), which will </w:t>
      </w:r>
      <w:r w:rsidR="00105551">
        <w:t xml:space="preserve">extend MCS best practice globally, thereby creating </w:t>
      </w:r>
      <w:r w:rsidR="00306C42">
        <w:t>export opportunities</w:t>
      </w:r>
      <w:r w:rsidR="00105551">
        <w:t xml:space="preserve"> for UK renewable energy businesses. </w:t>
      </w:r>
    </w:p>
    <w:p w:rsidR="005B4E1F" w:rsidRDefault="005B4E1F" w:rsidP="00105551">
      <w:pPr>
        <w:spacing w:line="240" w:lineRule="auto"/>
      </w:pPr>
    </w:p>
    <w:p w:rsidR="00944161" w:rsidRDefault="00944161" w:rsidP="00CB2BB3">
      <w:pPr>
        <w:pStyle w:val="Heading2"/>
      </w:pPr>
      <w:r w:rsidRPr="00AF58DE">
        <w:t>Summary of actions</w:t>
      </w:r>
    </w:p>
    <w:tbl>
      <w:tblPr>
        <w:tblW w:w="9071" w:type="dxa"/>
        <w:jc w:val="center"/>
        <w:tblBorders>
          <w:top w:val="single" w:sz="2" w:space="0" w:color="31313D"/>
          <w:left w:val="single" w:sz="2" w:space="0" w:color="31313D"/>
          <w:bottom w:val="single" w:sz="2" w:space="0" w:color="31313D"/>
          <w:right w:val="single" w:sz="2" w:space="0" w:color="31313D"/>
          <w:insideH w:val="single" w:sz="2" w:space="0" w:color="31313D"/>
          <w:insideV w:val="single" w:sz="2" w:space="0" w:color="31313D"/>
        </w:tblBorders>
        <w:tblCellMar>
          <w:top w:w="17" w:type="dxa"/>
          <w:bottom w:w="17" w:type="dxa"/>
        </w:tblCellMar>
        <w:tblLook w:val="00A0" w:firstRow="1" w:lastRow="0" w:firstColumn="1" w:lastColumn="0" w:noHBand="0" w:noVBand="0"/>
      </w:tblPr>
      <w:tblGrid>
        <w:gridCol w:w="579"/>
        <w:gridCol w:w="5515"/>
        <w:gridCol w:w="1236"/>
        <w:gridCol w:w="1741"/>
      </w:tblGrid>
      <w:tr w:rsidR="00A34888" w:rsidRPr="0094513F" w:rsidTr="005B4E1F">
        <w:trPr>
          <w:cantSplit/>
          <w:trHeight w:hRule="exact" w:val="964"/>
          <w:jc w:val="center"/>
        </w:trPr>
        <w:tc>
          <w:tcPr>
            <w:tcW w:w="579" w:type="dxa"/>
            <w:shd w:val="clear" w:color="auto" w:fill="E6E6E6"/>
            <w:tcMar>
              <w:top w:w="11" w:type="dxa"/>
              <w:bottom w:w="11" w:type="dxa"/>
            </w:tcMar>
            <w:textDirection w:val="tbRl"/>
            <w:vAlign w:val="center"/>
          </w:tcPr>
          <w:p w:rsidR="00A34888" w:rsidRPr="008632C8" w:rsidRDefault="00A34888" w:rsidP="008632C8">
            <w:pPr>
              <w:spacing w:before="20" w:after="20"/>
              <w:ind w:left="113" w:right="113"/>
              <w:rPr>
                <w:rFonts w:cs="Calibri"/>
                <w:spacing w:val="-6"/>
              </w:rPr>
            </w:pPr>
            <w:r w:rsidRPr="008632C8">
              <w:rPr>
                <w:rFonts w:cs="Calibri"/>
                <w:b/>
                <w:spacing w:val="-6"/>
                <w:sz w:val="22"/>
              </w:rPr>
              <w:t>Section</w:t>
            </w:r>
          </w:p>
        </w:tc>
        <w:tc>
          <w:tcPr>
            <w:tcW w:w="5602" w:type="dxa"/>
            <w:shd w:val="clear" w:color="auto" w:fill="E6E6E6"/>
            <w:vAlign w:val="center"/>
          </w:tcPr>
          <w:p w:rsidR="00A34888" w:rsidRPr="0094513F" w:rsidRDefault="00A34888" w:rsidP="00A34888">
            <w:pPr>
              <w:spacing w:before="20" w:after="20"/>
              <w:rPr>
                <w:rFonts w:cs="Calibri"/>
              </w:rPr>
            </w:pPr>
            <w:r w:rsidRPr="0094513F">
              <w:rPr>
                <w:rFonts w:cs="Calibri"/>
                <w:b/>
              </w:rPr>
              <w:t>Action</w:t>
            </w:r>
          </w:p>
        </w:tc>
        <w:tc>
          <w:tcPr>
            <w:tcW w:w="1134" w:type="dxa"/>
            <w:shd w:val="clear" w:color="auto" w:fill="E6E6E6"/>
            <w:vAlign w:val="center"/>
          </w:tcPr>
          <w:p w:rsidR="00A34888" w:rsidRPr="0094513F" w:rsidRDefault="00A34888" w:rsidP="00A34888">
            <w:pPr>
              <w:spacing w:before="20" w:after="20"/>
              <w:rPr>
                <w:rFonts w:cs="Calibri"/>
                <w:b/>
              </w:rPr>
            </w:pPr>
            <w:r w:rsidRPr="0094513F">
              <w:rPr>
                <w:rFonts w:cs="Calibri"/>
                <w:b/>
              </w:rPr>
              <w:t>lead</w:t>
            </w:r>
          </w:p>
        </w:tc>
        <w:tc>
          <w:tcPr>
            <w:tcW w:w="1756" w:type="dxa"/>
            <w:shd w:val="clear" w:color="auto" w:fill="E6E6E6"/>
            <w:vAlign w:val="center"/>
          </w:tcPr>
          <w:p w:rsidR="00A34888" w:rsidRPr="0094513F" w:rsidRDefault="00A34888" w:rsidP="00A34888">
            <w:pPr>
              <w:spacing w:before="20" w:after="20"/>
              <w:rPr>
                <w:rFonts w:cs="Calibri"/>
              </w:rPr>
            </w:pPr>
            <w:r w:rsidRPr="0094513F">
              <w:rPr>
                <w:rFonts w:cs="Calibri"/>
              </w:rPr>
              <w:t>timing</w:t>
            </w:r>
          </w:p>
        </w:tc>
      </w:tr>
      <w:tr w:rsidR="00F33585" w:rsidRPr="0094513F" w:rsidTr="005B4E1F">
        <w:trPr>
          <w:jc w:val="center"/>
        </w:trPr>
        <w:tc>
          <w:tcPr>
            <w:tcW w:w="579" w:type="dxa"/>
            <w:vMerge w:val="restart"/>
          </w:tcPr>
          <w:p w:rsidR="00F33585" w:rsidRPr="0094513F" w:rsidRDefault="00F33585" w:rsidP="00A34888">
            <w:pPr>
              <w:spacing w:before="20" w:after="20"/>
              <w:jc w:val="center"/>
              <w:rPr>
                <w:rFonts w:cs="Calibri"/>
              </w:rPr>
            </w:pPr>
            <w:r>
              <w:rPr>
                <w:rFonts w:cs="Calibri"/>
              </w:rPr>
              <w:t>2</w:t>
            </w:r>
          </w:p>
        </w:tc>
        <w:tc>
          <w:tcPr>
            <w:tcW w:w="5602" w:type="dxa"/>
          </w:tcPr>
          <w:p w:rsidR="00F33585" w:rsidRPr="0094513F" w:rsidRDefault="00F33585" w:rsidP="008632C8">
            <w:pPr>
              <w:spacing w:before="20" w:after="20"/>
              <w:rPr>
                <w:rFonts w:cs="Calibri"/>
              </w:rPr>
            </w:pPr>
            <w:r>
              <w:rPr>
                <w:rFonts w:cs="Calibri"/>
              </w:rPr>
              <w:t xml:space="preserve">Provide paper on </w:t>
            </w:r>
            <w:r w:rsidRPr="008632C8">
              <w:rPr>
                <w:rFonts w:cs="Calibri"/>
              </w:rPr>
              <w:t>relation between GD and incentives such as RHI</w:t>
            </w:r>
          </w:p>
        </w:tc>
        <w:tc>
          <w:tcPr>
            <w:tcW w:w="1134" w:type="dxa"/>
          </w:tcPr>
          <w:p w:rsidR="00F33585" w:rsidRPr="0094513F" w:rsidRDefault="00F33585" w:rsidP="00A34888">
            <w:pPr>
              <w:spacing w:before="20" w:after="20"/>
              <w:rPr>
                <w:rFonts w:cs="Calibri"/>
                <w:b/>
              </w:rPr>
            </w:pPr>
            <w:r>
              <w:rPr>
                <w:rFonts w:cs="Calibri"/>
                <w:b/>
              </w:rPr>
              <w:t>PR</w:t>
            </w:r>
          </w:p>
        </w:tc>
        <w:tc>
          <w:tcPr>
            <w:tcW w:w="1756" w:type="dxa"/>
          </w:tcPr>
          <w:p w:rsidR="00F33585" w:rsidRPr="0094513F" w:rsidRDefault="00F33585" w:rsidP="00A34888">
            <w:pPr>
              <w:spacing w:before="20" w:after="20"/>
              <w:rPr>
                <w:rFonts w:cs="Calibri"/>
              </w:rPr>
            </w:pPr>
            <w:r>
              <w:rPr>
                <w:rFonts w:cs="Calibri"/>
              </w:rPr>
              <w:t>when available</w:t>
            </w:r>
          </w:p>
        </w:tc>
      </w:tr>
      <w:tr w:rsidR="00F33585" w:rsidRPr="0094513F" w:rsidTr="005B4E1F">
        <w:trPr>
          <w:jc w:val="center"/>
        </w:trPr>
        <w:tc>
          <w:tcPr>
            <w:tcW w:w="579" w:type="dxa"/>
            <w:vMerge/>
          </w:tcPr>
          <w:p w:rsidR="00F33585" w:rsidRPr="0094513F" w:rsidRDefault="00F33585" w:rsidP="00A34888">
            <w:pPr>
              <w:spacing w:before="20" w:after="20"/>
              <w:jc w:val="center"/>
              <w:rPr>
                <w:rFonts w:cs="Calibri"/>
              </w:rPr>
            </w:pPr>
          </w:p>
        </w:tc>
        <w:tc>
          <w:tcPr>
            <w:tcW w:w="5602" w:type="dxa"/>
          </w:tcPr>
          <w:p w:rsidR="00F33585" w:rsidRPr="0094513F" w:rsidRDefault="00F33585" w:rsidP="00F33585">
            <w:pPr>
              <w:spacing w:before="20" w:after="20"/>
              <w:rPr>
                <w:rFonts w:cs="Calibri"/>
              </w:rPr>
            </w:pPr>
            <w:r>
              <w:rPr>
                <w:rFonts w:cs="Calibri"/>
              </w:rPr>
              <w:t>Provide update on Community Delivery</w:t>
            </w:r>
          </w:p>
        </w:tc>
        <w:tc>
          <w:tcPr>
            <w:tcW w:w="1134" w:type="dxa"/>
          </w:tcPr>
          <w:p w:rsidR="00F33585" w:rsidRPr="0094513F" w:rsidRDefault="00ED4E95" w:rsidP="00A34888">
            <w:pPr>
              <w:spacing w:before="20" w:after="20"/>
              <w:rPr>
                <w:rFonts w:cs="Calibri"/>
                <w:b/>
              </w:rPr>
            </w:pPr>
            <w:r>
              <w:rPr>
                <w:rFonts w:cs="Calibri"/>
                <w:b/>
              </w:rPr>
              <w:t>PR</w:t>
            </w:r>
          </w:p>
        </w:tc>
        <w:tc>
          <w:tcPr>
            <w:tcW w:w="1756" w:type="dxa"/>
          </w:tcPr>
          <w:p w:rsidR="00F33585" w:rsidRPr="0094513F" w:rsidRDefault="00ED4E95" w:rsidP="00A34888">
            <w:pPr>
              <w:spacing w:before="20" w:after="20"/>
              <w:rPr>
                <w:rFonts w:cs="Calibri"/>
              </w:rPr>
            </w:pPr>
            <w:r>
              <w:rPr>
                <w:rFonts w:cs="Calibri"/>
              </w:rPr>
              <w:t>done</w:t>
            </w:r>
          </w:p>
        </w:tc>
      </w:tr>
      <w:tr w:rsidR="00A34888" w:rsidRPr="0094513F" w:rsidTr="005B4E1F">
        <w:trPr>
          <w:jc w:val="center"/>
        </w:trPr>
        <w:tc>
          <w:tcPr>
            <w:tcW w:w="579" w:type="dxa"/>
          </w:tcPr>
          <w:p w:rsidR="00A34888" w:rsidRPr="0094513F" w:rsidRDefault="00CB2BB3" w:rsidP="00CB2BB3">
            <w:pPr>
              <w:spacing w:before="20" w:after="20"/>
              <w:jc w:val="center"/>
              <w:rPr>
                <w:rFonts w:cs="Calibri"/>
              </w:rPr>
            </w:pPr>
            <w:r>
              <w:rPr>
                <w:rFonts w:cs="Calibri"/>
              </w:rPr>
              <w:t>3</w:t>
            </w:r>
          </w:p>
        </w:tc>
        <w:tc>
          <w:tcPr>
            <w:tcW w:w="5602" w:type="dxa"/>
          </w:tcPr>
          <w:p w:rsidR="00A34888" w:rsidRPr="0094513F" w:rsidRDefault="00CB2BB3" w:rsidP="00A34888">
            <w:pPr>
              <w:spacing w:before="20" w:after="20"/>
              <w:rPr>
                <w:rFonts w:cs="Calibri"/>
              </w:rPr>
            </w:pPr>
            <w:r>
              <w:rPr>
                <w:rFonts w:cs="Calibri"/>
              </w:rPr>
              <w:t>Finalise interim report with comments from the meeting</w:t>
            </w:r>
          </w:p>
        </w:tc>
        <w:tc>
          <w:tcPr>
            <w:tcW w:w="1134" w:type="dxa"/>
          </w:tcPr>
          <w:p w:rsidR="00A34888" w:rsidRPr="0094513F" w:rsidRDefault="00CB2BB3" w:rsidP="00A34888">
            <w:pPr>
              <w:spacing w:before="20" w:after="20"/>
              <w:rPr>
                <w:rFonts w:cs="Calibri"/>
                <w:b/>
              </w:rPr>
            </w:pPr>
            <w:r>
              <w:rPr>
                <w:rFonts w:cs="Calibri"/>
                <w:b/>
              </w:rPr>
              <w:t>EEPB</w:t>
            </w:r>
          </w:p>
        </w:tc>
        <w:tc>
          <w:tcPr>
            <w:tcW w:w="1756" w:type="dxa"/>
          </w:tcPr>
          <w:p w:rsidR="00A34888" w:rsidRPr="0094513F" w:rsidRDefault="00655B35" w:rsidP="00A34888">
            <w:pPr>
              <w:spacing w:before="20" w:after="20"/>
              <w:rPr>
                <w:rFonts w:cs="Calibri"/>
              </w:rPr>
            </w:pPr>
            <w:r>
              <w:rPr>
                <w:rFonts w:cs="Calibri"/>
              </w:rPr>
              <w:t>done</w:t>
            </w:r>
            <w:bookmarkStart w:id="0" w:name="_GoBack"/>
            <w:bookmarkEnd w:id="0"/>
          </w:p>
        </w:tc>
      </w:tr>
      <w:tr w:rsidR="00CB2BB3" w:rsidRPr="0094513F" w:rsidTr="005B4E1F">
        <w:trPr>
          <w:jc w:val="center"/>
        </w:trPr>
        <w:tc>
          <w:tcPr>
            <w:tcW w:w="579" w:type="dxa"/>
            <w:vMerge w:val="restart"/>
          </w:tcPr>
          <w:p w:rsidR="00CB2BB3" w:rsidRPr="0094513F" w:rsidRDefault="00CB2BB3" w:rsidP="008B6DBE">
            <w:pPr>
              <w:spacing w:before="20" w:after="20"/>
              <w:jc w:val="center"/>
              <w:rPr>
                <w:rFonts w:cs="Calibri"/>
              </w:rPr>
            </w:pPr>
            <w:r>
              <w:rPr>
                <w:rFonts w:cs="Calibri"/>
              </w:rPr>
              <w:t>4</w:t>
            </w:r>
            <w:r w:rsidR="005B4E1F">
              <w:rPr>
                <w:rFonts w:cs="Calibri"/>
              </w:rPr>
              <w:t>.1</w:t>
            </w:r>
          </w:p>
        </w:tc>
        <w:tc>
          <w:tcPr>
            <w:tcW w:w="5602" w:type="dxa"/>
          </w:tcPr>
          <w:p w:rsidR="00CB2BB3" w:rsidRPr="0094513F" w:rsidRDefault="00CB2BB3" w:rsidP="00CB2BB3">
            <w:pPr>
              <w:spacing w:before="20" w:after="20"/>
              <w:rPr>
                <w:rFonts w:cs="Calibri"/>
              </w:rPr>
            </w:pPr>
            <w:r>
              <w:rPr>
                <w:rFonts w:cs="Calibri"/>
              </w:rPr>
              <w:t>Update the consumer protection overview paper</w:t>
            </w:r>
          </w:p>
        </w:tc>
        <w:tc>
          <w:tcPr>
            <w:tcW w:w="1134" w:type="dxa"/>
          </w:tcPr>
          <w:p w:rsidR="00CB2BB3" w:rsidRPr="0094513F" w:rsidRDefault="00CB2BB3" w:rsidP="00A34888">
            <w:pPr>
              <w:spacing w:before="20" w:after="20"/>
              <w:rPr>
                <w:rFonts w:cs="Calibri"/>
                <w:b/>
              </w:rPr>
            </w:pPr>
            <w:r>
              <w:rPr>
                <w:rFonts w:cs="Calibri"/>
                <w:b/>
              </w:rPr>
              <w:t>KB</w:t>
            </w:r>
          </w:p>
        </w:tc>
        <w:tc>
          <w:tcPr>
            <w:tcW w:w="1756" w:type="dxa"/>
          </w:tcPr>
          <w:p w:rsidR="00CB2BB3" w:rsidRPr="0094513F" w:rsidRDefault="00CB2BB3" w:rsidP="00A34888">
            <w:pPr>
              <w:spacing w:before="20" w:after="20"/>
              <w:rPr>
                <w:rFonts w:cs="Calibri"/>
              </w:rPr>
            </w:pPr>
          </w:p>
        </w:tc>
      </w:tr>
      <w:tr w:rsidR="00CB2BB3" w:rsidRPr="0094513F" w:rsidTr="005B4E1F">
        <w:trPr>
          <w:jc w:val="center"/>
        </w:trPr>
        <w:tc>
          <w:tcPr>
            <w:tcW w:w="579" w:type="dxa"/>
            <w:vMerge/>
          </w:tcPr>
          <w:p w:rsidR="00CB2BB3" w:rsidRDefault="00CB2BB3" w:rsidP="008B6DBE">
            <w:pPr>
              <w:spacing w:before="20" w:after="20"/>
              <w:jc w:val="center"/>
              <w:rPr>
                <w:rFonts w:cs="Calibri"/>
              </w:rPr>
            </w:pPr>
          </w:p>
        </w:tc>
        <w:tc>
          <w:tcPr>
            <w:tcW w:w="5602" w:type="dxa"/>
          </w:tcPr>
          <w:p w:rsidR="00CB2BB3" w:rsidRDefault="00CB2BB3" w:rsidP="00CB2BB3">
            <w:pPr>
              <w:spacing w:before="20" w:after="20"/>
              <w:rPr>
                <w:rFonts w:cs="Calibri"/>
              </w:rPr>
            </w:pPr>
            <w:r>
              <w:rPr>
                <w:rFonts w:cs="Calibri"/>
              </w:rPr>
              <w:t xml:space="preserve">Form a </w:t>
            </w:r>
            <w:proofErr w:type="spellStart"/>
            <w:r>
              <w:rPr>
                <w:rFonts w:cs="Calibri"/>
              </w:rPr>
              <w:t>taskgroup</w:t>
            </w:r>
            <w:proofErr w:type="spellEnd"/>
            <w:r>
              <w:rPr>
                <w:rFonts w:cs="Calibri"/>
              </w:rPr>
              <w:t xml:space="preserve"> on warranties</w:t>
            </w:r>
          </w:p>
        </w:tc>
        <w:tc>
          <w:tcPr>
            <w:tcW w:w="1134" w:type="dxa"/>
          </w:tcPr>
          <w:p w:rsidR="00CB2BB3" w:rsidRDefault="00CB2BB3" w:rsidP="00A34888">
            <w:pPr>
              <w:spacing w:before="20" w:after="20"/>
              <w:rPr>
                <w:rFonts w:cs="Calibri"/>
                <w:b/>
              </w:rPr>
            </w:pPr>
            <w:r>
              <w:rPr>
                <w:rFonts w:cs="Calibri"/>
                <w:b/>
              </w:rPr>
              <w:t>EEPB</w:t>
            </w:r>
          </w:p>
        </w:tc>
        <w:tc>
          <w:tcPr>
            <w:tcW w:w="1756" w:type="dxa"/>
          </w:tcPr>
          <w:p w:rsidR="00CB2BB3" w:rsidRPr="0094513F" w:rsidRDefault="00CB2BB3" w:rsidP="00A34888">
            <w:pPr>
              <w:spacing w:before="20" w:after="20"/>
              <w:rPr>
                <w:rFonts w:cs="Calibri"/>
              </w:rPr>
            </w:pPr>
          </w:p>
        </w:tc>
      </w:tr>
      <w:tr w:rsidR="008B6DBE" w:rsidRPr="0094513F" w:rsidTr="005B4E1F">
        <w:trPr>
          <w:jc w:val="center"/>
        </w:trPr>
        <w:tc>
          <w:tcPr>
            <w:tcW w:w="579" w:type="dxa"/>
          </w:tcPr>
          <w:p w:rsidR="008B6DBE" w:rsidRDefault="005B4E1F" w:rsidP="008B6DBE">
            <w:pPr>
              <w:spacing w:before="20" w:after="20"/>
              <w:jc w:val="center"/>
              <w:rPr>
                <w:rFonts w:cs="Calibri"/>
              </w:rPr>
            </w:pPr>
            <w:r>
              <w:rPr>
                <w:rFonts w:cs="Calibri"/>
              </w:rPr>
              <w:t>4.2</w:t>
            </w:r>
          </w:p>
        </w:tc>
        <w:tc>
          <w:tcPr>
            <w:tcW w:w="5602" w:type="dxa"/>
          </w:tcPr>
          <w:p w:rsidR="008B6DBE" w:rsidRDefault="00CB2BB3" w:rsidP="008B6DBE">
            <w:pPr>
              <w:spacing w:before="20" w:after="20"/>
              <w:rPr>
                <w:rFonts w:cs="Calibri"/>
              </w:rPr>
            </w:pPr>
            <w:r>
              <w:rPr>
                <w:rFonts w:cs="Calibri"/>
              </w:rPr>
              <w:t xml:space="preserve">Form a </w:t>
            </w:r>
            <w:proofErr w:type="spellStart"/>
            <w:r>
              <w:rPr>
                <w:rFonts w:cs="Calibri"/>
              </w:rPr>
              <w:t>taskgroup</w:t>
            </w:r>
            <w:proofErr w:type="spellEnd"/>
            <w:r>
              <w:rPr>
                <w:rFonts w:cs="Calibri"/>
              </w:rPr>
              <w:t xml:space="preserve"> on consumer messaging</w:t>
            </w:r>
          </w:p>
        </w:tc>
        <w:tc>
          <w:tcPr>
            <w:tcW w:w="1134" w:type="dxa"/>
          </w:tcPr>
          <w:p w:rsidR="008B6DBE" w:rsidRDefault="00CB2BB3" w:rsidP="00A34888">
            <w:pPr>
              <w:spacing w:before="20" w:after="20"/>
              <w:rPr>
                <w:rFonts w:cs="Calibri"/>
                <w:b/>
              </w:rPr>
            </w:pPr>
            <w:r>
              <w:rPr>
                <w:rFonts w:cs="Calibri"/>
                <w:b/>
              </w:rPr>
              <w:t>EEPB</w:t>
            </w:r>
          </w:p>
        </w:tc>
        <w:tc>
          <w:tcPr>
            <w:tcW w:w="1756" w:type="dxa"/>
          </w:tcPr>
          <w:p w:rsidR="008B6DBE" w:rsidRPr="0094513F" w:rsidRDefault="008B6DBE" w:rsidP="00A34888">
            <w:pPr>
              <w:spacing w:before="20" w:after="20"/>
              <w:rPr>
                <w:rFonts w:cs="Calibri"/>
              </w:rPr>
            </w:pPr>
          </w:p>
        </w:tc>
      </w:tr>
      <w:tr w:rsidR="00ED4E95" w:rsidRPr="0094513F" w:rsidTr="005B4E1F">
        <w:trPr>
          <w:jc w:val="center"/>
        </w:trPr>
        <w:tc>
          <w:tcPr>
            <w:tcW w:w="579" w:type="dxa"/>
            <w:vMerge w:val="restart"/>
          </w:tcPr>
          <w:p w:rsidR="00ED4E95" w:rsidRDefault="00ED4E95" w:rsidP="008B6DBE">
            <w:pPr>
              <w:spacing w:before="20" w:after="20"/>
              <w:jc w:val="center"/>
              <w:rPr>
                <w:rFonts w:cs="Calibri"/>
              </w:rPr>
            </w:pPr>
            <w:r>
              <w:rPr>
                <w:rFonts w:cs="Calibri"/>
              </w:rPr>
              <w:t>4.3</w:t>
            </w:r>
          </w:p>
        </w:tc>
        <w:tc>
          <w:tcPr>
            <w:tcW w:w="5602" w:type="dxa"/>
          </w:tcPr>
          <w:p w:rsidR="00ED4E95" w:rsidRDefault="00ED4E95" w:rsidP="008B6DBE">
            <w:pPr>
              <w:spacing w:before="20" w:after="20"/>
              <w:rPr>
                <w:rFonts w:cs="Calibri"/>
              </w:rPr>
            </w:pPr>
            <w:r>
              <w:rPr>
                <w:rFonts w:cs="Calibri"/>
              </w:rPr>
              <w:t>Check within DECC on response to SAP consultation, and invite Alan Christie to next meeting</w:t>
            </w:r>
          </w:p>
        </w:tc>
        <w:tc>
          <w:tcPr>
            <w:tcW w:w="1134" w:type="dxa"/>
          </w:tcPr>
          <w:p w:rsidR="00ED4E95" w:rsidRDefault="00ED4E95" w:rsidP="00A34888">
            <w:pPr>
              <w:spacing w:before="20" w:after="20"/>
              <w:rPr>
                <w:rFonts w:cs="Calibri"/>
                <w:b/>
              </w:rPr>
            </w:pPr>
            <w:r>
              <w:rPr>
                <w:rFonts w:cs="Calibri"/>
                <w:b/>
              </w:rPr>
              <w:t>PR</w:t>
            </w:r>
          </w:p>
        </w:tc>
        <w:tc>
          <w:tcPr>
            <w:tcW w:w="1756" w:type="dxa"/>
          </w:tcPr>
          <w:p w:rsidR="00ED4E95" w:rsidRPr="0094513F" w:rsidRDefault="00ED4E95" w:rsidP="00A34888">
            <w:pPr>
              <w:spacing w:before="20" w:after="20"/>
              <w:rPr>
                <w:rFonts w:cs="Calibri"/>
              </w:rPr>
            </w:pPr>
          </w:p>
        </w:tc>
      </w:tr>
      <w:tr w:rsidR="00ED4E95" w:rsidRPr="0094513F" w:rsidTr="005B4E1F">
        <w:trPr>
          <w:jc w:val="center"/>
        </w:trPr>
        <w:tc>
          <w:tcPr>
            <w:tcW w:w="579" w:type="dxa"/>
            <w:vMerge/>
          </w:tcPr>
          <w:p w:rsidR="00ED4E95" w:rsidRDefault="00ED4E95" w:rsidP="008B6DBE">
            <w:pPr>
              <w:spacing w:before="20" w:after="20"/>
              <w:jc w:val="center"/>
              <w:rPr>
                <w:rFonts w:cs="Calibri"/>
              </w:rPr>
            </w:pPr>
          </w:p>
        </w:tc>
        <w:tc>
          <w:tcPr>
            <w:tcW w:w="5602" w:type="dxa"/>
          </w:tcPr>
          <w:p w:rsidR="00ED4E95" w:rsidRDefault="00ED4E95" w:rsidP="008B6DBE">
            <w:pPr>
              <w:spacing w:before="20" w:after="20"/>
              <w:rPr>
                <w:rFonts w:cs="Calibri"/>
              </w:rPr>
            </w:pPr>
            <w:r>
              <w:rPr>
                <w:rFonts w:cs="Calibri"/>
              </w:rPr>
              <w:t xml:space="preserve">Set up technical </w:t>
            </w:r>
            <w:proofErr w:type="spellStart"/>
            <w:r>
              <w:rPr>
                <w:rFonts w:cs="Calibri"/>
              </w:rPr>
              <w:t>taskgroup</w:t>
            </w:r>
            <w:proofErr w:type="spellEnd"/>
            <w:r>
              <w:rPr>
                <w:rFonts w:cs="Calibri"/>
              </w:rPr>
              <w:t xml:space="preserve"> on improvements to SAP</w:t>
            </w:r>
          </w:p>
        </w:tc>
        <w:tc>
          <w:tcPr>
            <w:tcW w:w="1134" w:type="dxa"/>
          </w:tcPr>
          <w:p w:rsidR="00ED4E95" w:rsidRDefault="00ED4E95" w:rsidP="00A34888">
            <w:pPr>
              <w:spacing w:before="20" w:after="20"/>
              <w:rPr>
                <w:rFonts w:cs="Calibri"/>
                <w:b/>
              </w:rPr>
            </w:pPr>
            <w:r>
              <w:rPr>
                <w:rFonts w:cs="Calibri"/>
                <w:b/>
              </w:rPr>
              <w:t>MPC/EEPB</w:t>
            </w:r>
          </w:p>
        </w:tc>
        <w:tc>
          <w:tcPr>
            <w:tcW w:w="1756" w:type="dxa"/>
          </w:tcPr>
          <w:p w:rsidR="00ED4E95" w:rsidRPr="0094513F" w:rsidRDefault="00ED4E95" w:rsidP="00A34888">
            <w:pPr>
              <w:spacing w:before="20" w:after="20"/>
              <w:rPr>
                <w:rFonts w:cs="Calibri"/>
              </w:rPr>
            </w:pPr>
          </w:p>
        </w:tc>
      </w:tr>
      <w:tr w:rsidR="005B4E1F" w:rsidRPr="0094513F" w:rsidTr="005B4E1F">
        <w:trPr>
          <w:jc w:val="center"/>
        </w:trPr>
        <w:tc>
          <w:tcPr>
            <w:tcW w:w="579" w:type="dxa"/>
          </w:tcPr>
          <w:p w:rsidR="005B4E1F" w:rsidRDefault="005B4E1F" w:rsidP="008B6DBE">
            <w:pPr>
              <w:spacing w:before="20" w:after="20"/>
              <w:jc w:val="center"/>
              <w:rPr>
                <w:rFonts w:cs="Calibri"/>
              </w:rPr>
            </w:pPr>
            <w:r>
              <w:rPr>
                <w:rFonts w:cs="Calibri"/>
              </w:rPr>
              <w:t>5</w:t>
            </w:r>
          </w:p>
        </w:tc>
        <w:tc>
          <w:tcPr>
            <w:tcW w:w="5602" w:type="dxa"/>
          </w:tcPr>
          <w:p w:rsidR="005B4E1F" w:rsidRDefault="005B4E1F" w:rsidP="008B6DBE">
            <w:pPr>
              <w:spacing w:before="20" w:after="20"/>
              <w:rPr>
                <w:rFonts w:cs="Calibri"/>
              </w:rPr>
            </w:pPr>
            <w:r>
              <w:rPr>
                <w:rFonts w:cs="Calibri"/>
              </w:rPr>
              <w:t>Write paper on heat pump standard connection for MCS standards management group (SMG)</w:t>
            </w:r>
          </w:p>
        </w:tc>
        <w:tc>
          <w:tcPr>
            <w:tcW w:w="1134" w:type="dxa"/>
          </w:tcPr>
          <w:p w:rsidR="005B4E1F" w:rsidRDefault="005B4E1F" w:rsidP="00A34888">
            <w:pPr>
              <w:spacing w:before="20" w:after="20"/>
              <w:rPr>
                <w:rFonts w:cs="Calibri"/>
                <w:b/>
              </w:rPr>
            </w:pPr>
            <w:r>
              <w:rPr>
                <w:rFonts w:cs="Calibri"/>
                <w:b/>
              </w:rPr>
              <w:t>KB</w:t>
            </w:r>
          </w:p>
        </w:tc>
        <w:tc>
          <w:tcPr>
            <w:tcW w:w="1756" w:type="dxa"/>
          </w:tcPr>
          <w:p w:rsidR="005B4E1F" w:rsidRPr="0094513F" w:rsidRDefault="005B4E1F" w:rsidP="00A34888">
            <w:pPr>
              <w:spacing w:before="20" w:after="20"/>
              <w:rPr>
                <w:rFonts w:cs="Calibri"/>
              </w:rPr>
            </w:pPr>
          </w:p>
        </w:tc>
      </w:tr>
    </w:tbl>
    <w:p w:rsidR="00A34888" w:rsidRPr="005B4E1F" w:rsidRDefault="00A34888" w:rsidP="00A34888">
      <w:pPr>
        <w:rPr>
          <w:sz w:val="2"/>
        </w:rPr>
      </w:pPr>
    </w:p>
    <w:sectPr w:rsidR="00A34888" w:rsidRPr="005B4E1F" w:rsidSect="009C6D80">
      <w:footerReference w:type="default" r:id="rId12"/>
      <w:pgSz w:w="11906" w:h="16838"/>
      <w:pgMar w:top="1247" w:right="1361" w:bottom="1418"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383" w:rsidRDefault="00A41383" w:rsidP="00CD3FEE">
      <w:pPr>
        <w:spacing w:after="0" w:line="240" w:lineRule="auto"/>
      </w:pPr>
      <w:r>
        <w:separator/>
      </w:r>
    </w:p>
  </w:endnote>
  <w:endnote w:type="continuationSeparator" w:id="0">
    <w:p w:rsidR="00A41383" w:rsidRDefault="00A41383" w:rsidP="00CD3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11E" w:rsidRPr="00CD3FEE" w:rsidRDefault="0006311E" w:rsidP="00CD3FEE">
    <w:pPr>
      <w:pStyle w:val="Footer"/>
      <w:jc w:val="center"/>
    </w:pPr>
    <w:proofErr w:type="gramStart"/>
    <w:r>
      <w:rPr>
        <w:color w:val="00477F"/>
      </w:rPr>
      <w:t>–</w:t>
    </w:r>
    <w:r w:rsidRPr="00CD3FEE">
      <w:t xml:space="preserve">  Page</w:t>
    </w:r>
    <w:proofErr w:type="gramEnd"/>
    <w:r w:rsidRPr="00CD3FEE">
      <w:t xml:space="preserve"> </w:t>
    </w:r>
    <w:r w:rsidR="004A34DE">
      <w:fldChar w:fldCharType="begin"/>
    </w:r>
    <w:r>
      <w:instrText xml:space="preserve"> PAGE   \* MERGEFORMAT </w:instrText>
    </w:r>
    <w:r w:rsidR="004A34DE">
      <w:fldChar w:fldCharType="separate"/>
    </w:r>
    <w:r w:rsidR="00655B35">
      <w:rPr>
        <w:noProof/>
      </w:rPr>
      <w:t>4</w:t>
    </w:r>
    <w:r w:rsidR="004A34DE">
      <w:rPr>
        <w:noProof/>
      </w:rPr>
      <w:fldChar w:fldCharType="end"/>
    </w:r>
    <w:r>
      <w:t xml:space="preserve"> of </w:t>
    </w:r>
    <w:r w:rsidR="00A41383">
      <w:fldChar w:fldCharType="begin"/>
    </w:r>
    <w:r w:rsidR="00A41383">
      <w:instrText xml:space="preserve"> NUMPAGES   \* MERGEFORMAT </w:instrText>
    </w:r>
    <w:r w:rsidR="00A41383">
      <w:fldChar w:fldCharType="separate"/>
    </w:r>
    <w:r w:rsidR="00655B35">
      <w:rPr>
        <w:noProof/>
      </w:rPr>
      <w:t>4</w:t>
    </w:r>
    <w:r w:rsidR="00A41383">
      <w:rPr>
        <w:noProof/>
      </w:rPr>
      <w:fldChar w:fldCharType="end"/>
    </w:r>
    <w:r w:rsidRPr="00CD3FEE">
      <w:t xml:space="preserve">  </w:t>
    </w:r>
    <w:r>
      <w:rPr>
        <w:color w:val="00477F"/>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383" w:rsidRDefault="00A41383" w:rsidP="00CD3FEE">
      <w:pPr>
        <w:spacing w:after="0" w:line="240" w:lineRule="auto"/>
      </w:pPr>
      <w:r>
        <w:separator/>
      </w:r>
    </w:p>
  </w:footnote>
  <w:footnote w:type="continuationSeparator" w:id="0">
    <w:p w:rsidR="00A41383" w:rsidRDefault="00A41383" w:rsidP="00CD3FEE">
      <w:pPr>
        <w:spacing w:after="0" w:line="240" w:lineRule="auto"/>
      </w:pPr>
      <w:r>
        <w:continuationSeparator/>
      </w:r>
    </w:p>
  </w:footnote>
  <w:footnote w:id="1">
    <w:p w:rsidR="00EB3B17" w:rsidRDefault="00EB3B17">
      <w:pPr>
        <w:pStyle w:val="FootnoteText"/>
      </w:pPr>
      <w:r>
        <w:rPr>
          <w:rStyle w:val="FootnoteReference"/>
        </w:rPr>
        <w:footnoteRef/>
      </w:r>
      <w:r>
        <w:t xml:space="preserve"> </w:t>
      </w:r>
      <w:r w:rsidR="00367550">
        <w:tab/>
      </w:r>
      <w:proofErr w:type="gramStart"/>
      <w:r>
        <w:t>available</w:t>
      </w:r>
      <w:proofErr w:type="gramEnd"/>
      <w:r>
        <w:t xml:space="preserve"> from the </w:t>
      </w:r>
      <w:hyperlink r:id="rId1" w:history="1">
        <w:r w:rsidRPr="00367550">
          <w:rPr>
            <w:rStyle w:val="Hyperlink"/>
          </w:rPr>
          <w:t>National Insulation Association's website</w:t>
        </w:r>
      </w:hyperlink>
      <w:r w:rsidR="00367550">
        <w:t xml:space="preserve">. This is a new issue of a </w:t>
      </w:r>
      <w:hyperlink r:id="rId2" w:history="1">
        <w:r w:rsidR="00367550" w:rsidRPr="00367550">
          <w:rPr>
            <w:rStyle w:val="Hyperlink"/>
          </w:rPr>
          <w:t>leaflet published in 2010</w:t>
        </w:r>
      </w:hyperlink>
      <w:r w:rsidR="00367550">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809000F"/>
    <w:lvl w:ilvl="0">
      <w:start w:val="1"/>
      <w:numFmt w:val="decimal"/>
      <w:lvlText w:val="%1."/>
      <w:lvlJc w:val="left"/>
      <w:pPr>
        <w:ind w:left="360" w:hanging="360"/>
      </w:pPr>
      <w:rPr>
        <w:rFonts w:hint="default"/>
      </w:rPr>
    </w:lvl>
  </w:abstractNum>
  <w:abstractNum w:abstractNumId="1">
    <w:nsid w:val="097043E7"/>
    <w:multiLevelType w:val="hybridMultilevel"/>
    <w:tmpl w:val="DD8E4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DC4DE0"/>
    <w:multiLevelType w:val="hybridMultilevel"/>
    <w:tmpl w:val="5AFAB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093659"/>
    <w:multiLevelType w:val="hybridMultilevel"/>
    <w:tmpl w:val="0720C8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42603B"/>
    <w:multiLevelType w:val="hybridMultilevel"/>
    <w:tmpl w:val="DB445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1900D23"/>
    <w:multiLevelType w:val="hybridMultilevel"/>
    <w:tmpl w:val="73A894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4BE76C0"/>
    <w:multiLevelType w:val="hybridMultilevel"/>
    <w:tmpl w:val="01FC7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7293341"/>
    <w:multiLevelType w:val="hybridMultilevel"/>
    <w:tmpl w:val="F37A3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5736104"/>
    <w:multiLevelType w:val="multilevel"/>
    <w:tmpl w:val="E410C95C"/>
    <w:lvl w:ilvl="0">
      <w:start w:val="1"/>
      <w:numFmt w:val="decimal"/>
      <w:pStyle w:val="Heading3"/>
      <w:lvlText w:val="%1."/>
      <w:lvlJc w:val="left"/>
      <w:pPr>
        <w:ind w:left="720" w:hanging="360"/>
      </w:pPr>
      <w:rPr>
        <w:rFonts w:hint="default"/>
      </w:rPr>
    </w:lvl>
    <w:lvl w:ilvl="1">
      <w:start w:val="1"/>
      <w:numFmt w:val="decimal"/>
      <w:pStyle w:val="Heading4"/>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FAF0D63"/>
    <w:multiLevelType w:val="hybridMultilevel"/>
    <w:tmpl w:val="5D501D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3"/>
  </w:num>
  <w:num w:numId="5">
    <w:abstractNumId w:val="9"/>
  </w:num>
  <w:num w:numId="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num>
  <w:num w:numId="11">
    <w:abstractNumId w:val="6"/>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2"/>
  </w:compat>
  <w:rsids>
    <w:rsidRoot w:val="00A876CD"/>
    <w:rsid w:val="000009A5"/>
    <w:rsid w:val="000300BF"/>
    <w:rsid w:val="00036FD1"/>
    <w:rsid w:val="0006311E"/>
    <w:rsid w:val="00072893"/>
    <w:rsid w:val="000946A9"/>
    <w:rsid w:val="000C7887"/>
    <w:rsid w:val="000D26E0"/>
    <w:rsid w:val="000D2B1A"/>
    <w:rsid w:val="000E093D"/>
    <w:rsid w:val="00100586"/>
    <w:rsid w:val="00105551"/>
    <w:rsid w:val="00113531"/>
    <w:rsid w:val="00155A1B"/>
    <w:rsid w:val="0018239C"/>
    <w:rsid w:val="001B68EA"/>
    <w:rsid w:val="001F7069"/>
    <w:rsid w:val="00212512"/>
    <w:rsid w:val="0023051C"/>
    <w:rsid w:val="002618E3"/>
    <w:rsid w:val="0027093A"/>
    <w:rsid w:val="00284B67"/>
    <w:rsid w:val="002B3905"/>
    <w:rsid w:val="002F2AF2"/>
    <w:rsid w:val="00306C42"/>
    <w:rsid w:val="0036295A"/>
    <w:rsid w:val="00367550"/>
    <w:rsid w:val="003D3C5A"/>
    <w:rsid w:val="003D57B1"/>
    <w:rsid w:val="00407E02"/>
    <w:rsid w:val="00441EC4"/>
    <w:rsid w:val="0044224C"/>
    <w:rsid w:val="00484631"/>
    <w:rsid w:val="004A34DE"/>
    <w:rsid w:val="004B2002"/>
    <w:rsid w:val="004B6D38"/>
    <w:rsid w:val="004D10E0"/>
    <w:rsid w:val="004D2E36"/>
    <w:rsid w:val="0050513A"/>
    <w:rsid w:val="00507A96"/>
    <w:rsid w:val="00507E3D"/>
    <w:rsid w:val="005201B2"/>
    <w:rsid w:val="0052793F"/>
    <w:rsid w:val="005303CB"/>
    <w:rsid w:val="00530B71"/>
    <w:rsid w:val="00564459"/>
    <w:rsid w:val="0057740D"/>
    <w:rsid w:val="00584D8C"/>
    <w:rsid w:val="00590B0C"/>
    <w:rsid w:val="005A7EBE"/>
    <w:rsid w:val="005B4E1F"/>
    <w:rsid w:val="006464AB"/>
    <w:rsid w:val="006529A6"/>
    <w:rsid w:val="00655B35"/>
    <w:rsid w:val="00665DCD"/>
    <w:rsid w:val="006837BD"/>
    <w:rsid w:val="006B308D"/>
    <w:rsid w:val="006C7E45"/>
    <w:rsid w:val="006D737B"/>
    <w:rsid w:val="006F64EB"/>
    <w:rsid w:val="00703951"/>
    <w:rsid w:val="00703C70"/>
    <w:rsid w:val="007167BD"/>
    <w:rsid w:val="00723181"/>
    <w:rsid w:val="00751672"/>
    <w:rsid w:val="00752DBC"/>
    <w:rsid w:val="007879CC"/>
    <w:rsid w:val="007A31CE"/>
    <w:rsid w:val="007A538D"/>
    <w:rsid w:val="007B349A"/>
    <w:rsid w:val="007D35A0"/>
    <w:rsid w:val="007F0B81"/>
    <w:rsid w:val="007F144F"/>
    <w:rsid w:val="00821461"/>
    <w:rsid w:val="00821B98"/>
    <w:rsid w:val="00857BF8"/>
    <w:rsid w:val="00861BB4"/>
    <w:rsid w:val="008632C8"/>
    <w:rsid w:val="00871F75"/>
    <w:rsid w:val="00880365"/>
    <w:rsid w:val="00891B5C"/>
    <w:rsid w:val="008B6728"/>
    <w:rsid w:val="008B6DBE"/>
    <w:rsid w:val="008C42A4"/>
    <w:rsid w:val="008D5D1B"/>
    <w:rsid w:val="008E50DF"/>
    <w:rsid w:val="00902D57"/>
    <w:rsid w:val="00944161"/>
    <w:rsid w:val="009608FA"/>
    <w:rsid w:val="00966891"/>
    <w:rsid w:val="0097023B"/>
    <w:rsid w:val="0097526B"/>
    <w:rsid w:val="00976EB8"/>
    <w:rsid w:val="00977BFD"/>
    <w:rsid w:val="009A04A3"/>
    <w:rsid w:val="009C6D80"/>
    <w:rsid w:val="00A012EA"/>
    <w:rsid w:val="00A11AB8"/>
    <w:rsid w:val="00A34888"/>
    <w:rsid w:val="00A37907"/>
    <w:rsid w:val="00A41383"/>
    <w:rsid w:val="00A54D4A"/>
    <w:rsid w:val="00A73A62"/>
    <w:rsid w:val="00A876CD"/>
    <w:rsid w:val="00A9764C"/>
    <w:rsid w:val="00AE0B09"/>
    <w:rsid w:val="00AF58DE"/>
    <w:rsid w:val="00B35EC1"/>
    <w:rsid w:val="00B461AF"/>
    <w:rsid w:val="00B6119E"/>
    <w:rsid w:val="00B71C91"/>
    <w:rsid w:val="00B967E6"/>
    <w:rsid w:val="00BE7253"/>
    <w:rsid w:val="00C32A0A"/>
    <w:rsid w:val="00C67667"/>
    <w:rsid w:val="00C977A9"/>
    <w:rsid w:val="00CA75E5"/>
    <w:rsid w:val="00CB2BB3"/>
    <w:rsid w:val="00CD3FEE"/>
    <w:rsid w:val="00D07E44"/>
    <w:rsid w:val="00D33027"/>
    <w:rsid w:val="00D349C7"/>
    <w:rsid w:val="00D36A35"/>
    <w:rsid w:val="00D37EBE"/>
    <w:rsid w:val="00D459EA"/>
    <w:rsid w:val="00D94693"/>
    <w:rsid w:val="00DB0985"/>
    <w:rsid w:val="00DB2571"/>
    <w:rsid w:val="00DC13A8"/>
    <w:rsid w:val="00DE5BE1"/>
    <w:rsid w:val="00E73EA5"/>
    <w:rsid w:val="00E95004"/>
    <w:rsid w:val="00EA7B15"/>
    <w:rsid w:val="00EB3B17"/>
    <w:rsid w:val="00EC05B5"/>
    <w:rsid w:val="00ED4E95"/>
    <w:rsid w:val="00F11393"/>
    <w:rsid w:val="00F12564"/>
    <w:rsid w:val="00F33585"/>
    <w:rsid w:val="00F464C9"/>
    <w:rsid w:val="00F763B7"/>
    <w:rsid w:val="00F9539F"/>
    <w:rsid w:val="00F95514"/>
    <w:rsid w:val="00FA3063"/>
    <w:rsid w:val="00FA72FC"/>
    <w:rsid w:val="00FB22F4"/>
    <w:rsid w:val="00FB6E1D"/>
    <w:rsid w:val="00FB7297"/>
    <w:rsid w:val="00FC4481"/>
    <w:rsid w:val="00FD4E3E"/>
    <w:rsid w:val="00FE2AD0"/>
    <w:rsid w:val="00FE37C1"/>
    <w:rsid w:val="00FE3FF0"/>
    <w:rsid w:val="00FF30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D57"/>
    <w:pPr>
      <w:spacing w:after="120" w:line="276" w:lineRule="auto"/>
    </w:pPr>
    <w:rPr>
      <w:sz w:val="23"/>
      <w:szCs w:val="22"/>
      <w:lang w:eastAsia="en-US"/>
    </w:rPr>
  </w:style>
  <w:style w:type="paragraph" w:styleId="Heading1">
    <w:name w:val="heading 1"/>
    <w:basedOn w:val="Normal"/>
    <w:next w:val="Normal"/>
    <w:link w:val="Heading1Char"/>
    <w:uiPriority w:val="9"/>
    <w:qFormat/>
    <w:rsid w:val="00FD4E3E"/>
    <w:pPr>
      <w:keepNext/>
      <w:keepLines/>
      <w:spacing w:before="100" w:beforeAutospacing="1" w:after="240"/>
      <w:outlineLvl w:val="0"/>
    </w:pPr>
    <w:rPr>
      <w:rFonts w:ascii="Cambria" w:eastAsia="Times New Roman" w:hAnsi="Cambria"/>
      <w:b/>
      <w:bCs/>
      <w:color w:val="00477F"/>
      <w:sz w:val="36"/>
      <w:szCs w:val="28"/>
    </w:rPr>
  </w:style>
  <w:style w:type="paragraph" w:styleId="Heading2">
    <w:name w:val="heading 2"/>
    <w:basedOn w:val="Normal"/>
    <w:next w:val="Normal"/>
    <w:link w:val="Heading2Char"/>
    <w:uiPriority w:val="9"/>
    <w:unhideWhenUsed/>
    <w:qFormat/>
    <w:rsid w:val="009C6D80"/>
    <w:pPr>
      <w:keepNext/>
      <w:keepLines/>
      <w:spacing w:before="100" w:beforeAutospacing="1" w:after="240"/>
      <w:outlineLvl w:val="1"/>
    </w:pPr>
    <w:rPr>
      <w:rFonts w:ascii="Cambria" w:eastAsia="Times New Roman" w:hAnsi="Cambria"/>
      <w:b/>
      <w:bCs/>
      <w:color w:val="00477F"/>
      <w:sz w:val="28"/>
      <w:szCs w:val="26"/>
    </w:rPr>
  </w:style>
  <w:style w:type="paragraph" w:styleId="Heading3">
    <w:name w:val="heading 3"/>
    <w:basedOn w:val="Normal"/>
    <w:next w:val="Normal"/>
    <w:link w:val="Heading3Char"/>
    <w:uiPriority w:val="9"/>
    <w:unhideWhenUsed/>
    <w:qFormat/>
    <w:rsid w:val="00507E3D"/>
    <w:pPr>
      <w:keepNext/>
      <w:keepLines/>
      <w:numPr>
        <w:numId w:val="3"/>
      </w:numPr>
      <w:spacing w:before="480"/>
      <w:ind w:left="369" w:hanging="369"/>
      <w:outlineLvl w:val="2"/>
    </w:pPr>
    <w:rPr>
      <w:rFonts w:ascii="Cambria" w:eastAsia="Times New Roman" w:hAnsi="Cambria"/>
      <w:b/>
      <w:bCs/>
      <w:color w:val="00477F"/>
      <w:sz w:val="24"/>
    </w:rPr>
  </w:style>
  <w:style w:type="paragraph" w:styleId="Heading4">
    <w:name w:val="heading 4"/>
    <w:basedOn w:val="Normal"/>
    <w:next w:val="Normal"/>
    <w:link w:val="Heading4Char"/>
    <w:uiPriority w:val="9"/>
    <w:unhideWhenUsed/>
    <w:qFormat/>
    <w:rsid w:val="00507E3D"/>
    <w:pPr>
      <w:keepNext/>
      <w:keepLines/>
      <w:numPr>
        <w:ilvl w:val="1"/>
        <w:numId w:val="3"/>
      </w:numPr>
      <w:spacing w:before="200" w:after="80"/>
      <w:ind w:left="454" w:hanging="454"/>
      <w:outlineLvl w:val="3"/>
    </w:pPr>
    <w:rPr>
      <w:rFonts w:ascii="Cambria" w:eastAsia="Times New Roman" w:hAnsi="Cambria"/>
      <w:b/>
      <w:bCs/>
      <w:iCs/>
      <w:color w:val="0047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73EA5"/>
    <w:pPr>
      <w:contextualSpacing/>
    </w:pPr>
  </w:style>
  <w:style w:type="character" w:customStyle="1" w:styleId="Heading2Char">
    <w:name w:val="Heading 2 Char"/>
    <w:link w:val="Heading2"/>
    <w:uiPriority w:val="9"/>
    <w:rsid w:val="009C6D80"/>
    <w:rPr>
      <w:rFonts w:ascii="Cambria" w:eastAsia="Times New Roman" w:hAnsi="Cambria" w:cs="Times New Roman"/>
      <w:b/>
      <w:bCs/>
      <w:color w:val="00477F"/>
      <w:sz w:val="28"/>
      <w:szCs w:val="26"/>
    </w:rPr>
  </w:style>
  <w:style w:type="character" w:customStyle="1" w:styleId="Heading1Char">
    <w:name w:val="Heading 1 Char"/>
    <w:link w:val="Heading1"/>
    <w:uiPriority w:val="9"/>
    <w:rsid w:val="00FD4E3E"/>
    <w:rPr>
      <w:rFonts w:ascii="Cambria" w:eastAsia="Times New Roman" w:hAnsi="Cambria"/>
      <w:b/>
      <w:bCs/>
      <w:color w:val="00477F"/>
      <w:sz w:val="36"/>
      <w:szCs w:val="28"/>
      <w:lang w:eastAsia="en-US"/>
    </w:rPr>
  </w:style>
  <w:style w:type="character" w:customStyle="1" w:styleId="Heading3Char">
    <w:name w:val="Heading 3 Char"/>
    <w:link w:val="Heading3"/>
    <w:uiPriority w:val="9"/>
    <w:rsid w:val="00507E3D"/>
    <w:rPr>
      <w:rFonts w:ascii="Cambria" w:eastAsia="Times New Roman" w:hAnsi="Cambria"/>
      <w:b/>
      <w:bCs/>
      <w:color w:val="00477F"/>
      <w:sz w:val="24"/>
      <w:szCs w:val="22"/>
      <w:lang w:eastAsia="en-US"/>
    </w:rPr>
  </w:style>
  <w:style w:type="paragraph" w:styleId="ListParagraph">
    <w:name w:val="List Paragraph"/>
    <w:basedOn w:val="Normal"/>
    <w:uiPriority w:val="34"/>
    <w:qFormat/>
    <w:rsid w:val="009C6D80"/>
    <w:pPr>
      <w:ind w:left="720"/>
      <w:contextualSpacing/>
    </w:pPr>
  </w:style>
  <w:style w:type="character" w:styleId="Hyperlink">
    <w:name w:val="Hyperlink"/>
    <w:uiPriority w:val="99"/>
    <w:unhideWhenUsed/>
    <w:rsid w:val="00590B0C"/>
    <w:rPr>
      <w:color w:val="0000FF"/>
      <w:u w:val="single"/>
    </w:rPr>
  </w:style>
  <w:style w:type="character" w:styleId="CommentReference">
    <w:name w:val="annotation reference"/>
    <w:uiPriority w:val="99"/>
    <w:semiHidden/>
    <w:unhideWhenUsed/>
    <w:rsid w:val="00A73A62"/>
    <w:rPr>
      <w:sz w:val="16"/>
      <w:szCs w:val="16"/>
    </w:rPr>
  </w:style>
  <w:style w:type="paragraph" w:styleId="CommentText">
    <w:name w:val="annotation text"/>
    <w:basedOn w:val="Normal"/>
    <w:link w:val="CommentTextChar"/>
    <w:uiPriority w:val="99"/>
    <w:semiHidden/>
    <w:unhideWhenUsed/>
    <w:rsid w:val="00A73A62"/>
    <w:pPr>
      <w:spacing w:line="240" w:lineRule="auto"/>
    </w:pPr>
    <w:rPr>
      <w:sz w:val="20"/>
      <w:szCs w:val="20"/>
    </w:rPr>
  </w:style>
  <w:style w:type="character" w:customStyle="1" w:styleId="CommentTextChar">
    <w:name w:val="Comment Text Char"/>
    <w:link w:val="CommentText"/>
    <w:uiPriority w:val="99"/>
    <w:semiHidden/>
    <w:rsid w:val="00A73A62"/>
    <w:rPr>
      <w:sz w:val="20"/>
      <w:szCs w:val="20"/>
    </w:rPr>
  </w:style>
  <w:style w:type="paragraph" w:styleId="CommentSubject">
    <w:name w:val="annotation subject"/>
    <w:basedOn w:val="CommentText"/>
    <w:next w:val="CommentText"/>
    <w:link w:val="CommentSubjectChar"/>
    <w:uiPriority w:val="99"/>
    <w:semiHidden/>
    <w:unhideWhenUsed/>
    <w:rsid w:val="00A73A62"/>
    <w:rPr>
      <w:b/>
      <w:bCs/>
    </w:rPr>
  </w:style>
  <w:style w:type="character" w:customStyle="1" w:styleId="CommentSubjectChar">
    <w:name w:val="Comment Subject Char"/>
    <w:link w:val="CommentSubject"/>
    <w:uiPriority w:val="99"/>
    <w:semiHidden/>
    <w:rsid w:val="00A73A62"/>
    <w:rPr>
      <w:b/>
      <w:bCs/>
      <w:sz w:val="20"/>
      <w:szCs w:val="20"/>
    </w:rPr>
  </w:style>
  <w:style w:type="paragraph" w:styleId="BalloonText">
    <w:name w:val="Balloon Text"/>
    <w:basedOn w:val="Normal"/>
    <w:link w:val="BalloonTextChar"/>
    <w:uiPriority w:val="99"/>
    <w:semiHidden/>
    <w:unhideWhenUsed/>
    <w:rsid w:val="00A73A6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73A62"/>
    <w:rPr>
      <w:rFonts w:ascii="Tahoma" w:hAnsi="Tahoma" w:cs="Tahoma"/>
      <w:sz w:val="16"/>
      <w:szCs w:val="16"/>
    </w:rPr>
  </w:style>
  <w:style w:type="character" w:customStyle="1" w:styleId="Heading4Char">
    <w:name w:val="Heading 4 Char"/>
    <w:link w:val="Heading4"/>
    <w:uiPriority w:val="9"/>
    <w:rsid w:val="00507E3D"/>
    <w:rPr>
      <w:rFonts w:ascii="Cambria" w:eastAsia="Times New Roman" w:hAnsi="Cambria"/>
      <w:b/>
      <w:bCs/>
      <w:iCs/>
      <w:color w:val="00477F"/>
      <w:sz w:val="23"/>
      <w:szCs w:val="22"/>
      <w:lang w:eastAsia="en-US"/>
    </w:rPr>
  </w:style>
  <w:style w:type="paragraph" w:styleId="Header">
    <w:name w:val="header"/>
    <w:basedOn w:val="Normal"/>
    <w:link w:val="HeaderChar"/>
    <w:uiPriority w:val="99"/>
    <w:unhideWhenUsed/>
    <w:rsid w:val="00CD3FEE"/>
    <w:pPr>
      <w:tabs>
        <w:tab w:val="center" w:pos="4513"/>
        <w:tab w:val="right" w:pos="9026"/>
      </w:tabs>
      <w:spacing w:after="0" w:line="240" w:lineRule="auto"/>
    </w:pPr>
  </w:style>
  <w:style w:type="character" w:customStyle="1" w:styleId="HeaderChar">
    <w:name w:val="Header Char"/>
    <w:link w:val="Header"/>
    <w:uiPriority w:val="99"/>
    <w:rsid w:val="00CD3FEE"/>
    <w:rPr>
      <w:sz w:val="23"/>
    </w:rPr>
  </w:style>
  <w:style w:type="paragraph" w:styleId="Footer">
    <w:name w:val="footer"/>
    <w:basedOn w:val="Normal"/>
    <w:link w:val="FooterChar"/>
    <w:uiPriority w:val="99"/>
    <w:unhideWhenUsed/>
    <w:rsid w:val="00CD3FEE"/>
    <w:pPr>
      <w:tabs>
        <w:tab w:val="center" w:pos="4513"/>
        <w:tab w:val="right" w:pos="9026"/>
      </w:tabs>
      <w:spacing w:after="0" w:line="240" w:lineRule="auto"/>
    </w:pPr>
  </w:style>
  <w:style w:type="character" w:customStyle="1" w:styleId="FooterChar">
    <w:name w:val="Footer Char"/>
    <w:link w:val="Footer"/>
    <w:uiPriority w:val="99"/>
    <w:rsid w:val="00CD3FEE"/>
    <w:rPr>
      <w:sz w:val="23"/>
    </w:rPr>
  </w:style>
  <w:style w:type="character" w:styleId="FollowedHyperlink">
    <w:name w:val="FollowedHyperlink"/>
    <w:basedOn w:val="DefaultParagraphFont"/>
    <w:uiPriority w:val="99"/>
    <w:semiHidden/>
    <w:unhideWhenUsed/>
    <w:rsid w:val="00407E02"/>
    <w:rPr>
      <w:color w:val="800080" w:themeColor="followedHyperlink"/>
      <w:u w:val="single"/>
    </w:rPr>
  </w:style>
  <w:style w:type="paragraph" w:styleId="FootnoteText">
    <w:name w:val="footnote text"/>
    <w:basedOn w:val="Normal"/>
    <w:link w:val="FootnoteTextChar"/>
    <w:uiPriority w:val="99"/>
    <w:semiHidden/>
    <w:unhideWhenUsed/>
    <w:rsid w:val="00367550"/>
    <w:pPr>
      <w:spacing w:after="0" w:line="240" w:lineRule="auto"/>
      <w:ind w:left="227" w:right="57" w:hanging="170"/>
    </w:pPr>
    <w:rPr>
      <w:sz w:val="20"/>
      <w:szCs w:val="20"/>
    </w:rPr>
  </w:style>
  <w:style w:type="character" w:customStyle="1" w:styleId="FootnoteTextChar">
    <w:name w:val="Footnote Text Char"/>
    <w:basedOn w:val="DefaultParagraphFont"/>
    <w:link w:val="FootnoteText"/>
    <w:uiPriority w:val="99"/>
    <w:semiHidden/>
    <w:rsid w:val="00367550"/>
    <w:rPr>
      <w:lang w:eastAsia="en-US"/>
    </w:rPr>
  </w:style>
  <w:style w:type="character" w:styleId="FootnoteReference">
    <w:name w:val="footnote reference"/>
    <w:basedOn w:val="DefaultParagraphFont"/>
    <w:uiPriority w:val="99"/>
    <w:semiHidden/>
    <w:unhideWhenUsed/>
    <w:rsid w:val="00EB3B1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D57"/>
    <w:pPr>
      <w:spacing w:after="120" w:line="276" w:lineRule="auto"/>
    </w:pPr>
    <w:rPr>
      <w:sz w:val="23"/>
      <w:szCs w:val="22"/>
      <w:lang w:eastAsia="en-US"/>
    </w:rPr>
  </w:style>
  <w:style w:type="paragraph" w:styleId="Heading1">
    <w:name w:val="heading 1"/>
    <w:basedOn w:val="Normal"/>
    <w:next w:val="Normal"/>
    <w:link w:val="Heading1Char"/>
    <w:uiPriority w:val="9"/>
    <w:qFormat/>
    <w:rsid w:val="00FD4E3E"/>
    <w:pPr>
      <w:keepNext/>
      <w:keepLines/>
      <w:spacing w:before="100" w:beforeAutospacing="1" w:after="240"/>
      <w:outlineLvl w:val="0"/>
    </w:pPr>
    <w:rPr>
      <w:rFonts w:ascii="Cambria" w:eastAsia="Times New Roman" w:hAnsi="Cambria"/>
      <w:b/>
      <w:bCs/>
      <w:color w:val="00477F"/>
      <w:sz w:val="36"/>
      <w:szCs w:val="28"/>
    </w:rPr>
  </w:style>
  <w:style w:type="paragraph" w:styleId="Heading2">
    <w:name w:val="heading 2"/>
    <w:basedOn w:val="Normal"/>
    <w:next w:val="Normal"/>
    <w:link w:val="Heading2Char"/>
    <w:uiPriority w:val="9"/>
    <w:unhideWhenUsed/>
    <w:qFormat/>
    <w:rsid w:val="009C6D80"/>
    <w:pPr>
      <w:keepNext/>
      <w:keepLines/>
      <w:spacing w:before="100" w:beforeAutospacing="1" w:after="240"/>
      <w:outlineLvl w:val="1"/>
    </w:pPr>
    <w:rPr>
      <w:rFonts w:ascii="Cambria" w:eastAsia="Times New Roman" w:hAnsi="Cambria"/>
      <w:b/>
      <w:bCs/>
      <w:color w:val="00477F"/>
      <w:sz w:val="28"/>
      <w:szCs w:val="26"/>
    </w:rPr>
  </w:style>
  <w:style w:type="paragraph" w:styleId="Heading3">
    <w:name w:val="heading 3"/>
    <w:basedOn w:val="Normal"/>
    <w:next w:val="Normal"/>
    <w:link w:val="Heading3Char"/>
    <w:uiPriority w:val="9"/>
    <w:unhideWhenUsed/>
    <w:qFormat/>
    <w:rsid w:val="00507E3D"/>
    <w:pPr>
      <w:keepNext/>
      <w:keepLines/>
      <w:numPr>
        <w:numId w:val="3"/>
      </w:numPr>
      <w:spacing w:before="480"/>
      <w:ind w:left="369" w:hanging="369"/>
      <w:outlineLvl w:val="2"/>
    </w:pPr>
    <w:rPr>
      <w:rFonts w:ascii="Cambria" w:eastAsia="Times New Roman" w:hAnsi="Cambria"/>
      <w:b/>
      <w:bCs/>
      <w:color w:val="00477F"/>
      <w:sz w:val="24"/>
    </w:rPr>
  </w:style>
  <w:style w:type="paragraph" w:styleId="Heading4">
    <w:name w:val="heading 4"/>
    <w:basedOn w:val="Normal"/>
    <w:next w:val="Normal"/>
    <w:link w:val="Heading4Char"/>
    <w:uiPriority w:val="9"/>
    <w:unhideWhenUsed/>
    <w:qFormat/>
    <w:rsid w:val="00507E3D"/>
    <w:pPr>
      <w:keepNext/>
      <w:keepLines/>
      <w:numPr>
        <w:ilvl w:val="1"/>
        <w:numId w:val="3"/>
      </w:numPr>
      <w:spacing w:before="200" w:after="80"/>
      <w:ind w:left="454" w:hanging="454"/>
      <w:outlineLvl w:val="3"/>
    </w:pPr>
    <w:rPr>
      <w:rFonts w:ascii="Cambria" w:eastAsia="Times New Roman" w:hAnsi="Cambria"/>
      <w:b/>
      <w:bCs/>
      <w:iCs/>
      <w:color w:val="0047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E73EA5"/>
    <w:pPr>
      <w:contextualSpacing/>
    </w:pPr>
  </w:style>
  <w:style w:type="character" w:customStyle="1" w:styleId="Heading2Char">
    <w:name w:val="Heading 2 Char"/>
    <w:link w:val="Heading2"/>
    <w:uiPriority w:val="9"/>
    <w:rsid w:val="009C6D80"/>
    <w:rPr>
      <w:rFonts w:ascii="Cambria" w:eastAsia="Times New Roman" w:hAnsi="Cambria" w:cs="Times New Roman"/>
      <w:b/>
      <w:bCs/>
      <w:color w:val="00477F"/>
      <w:sz w:val="28"/>
      <w:szCs w:val="26"/>
    </w:rPr>
  </w:style>
  <w:style w:type="character" w:customStyle="1" w:styleId="Heading1Char">
    <w:name w:val="Heading 1 Char"/>
    <w:link w:val="Heading1"/>
    <w:uiPriority w:val="9"/>
    <w:rsid w:val="00FD4E3E"/>
    <w:rPr>
      <w:rFonts w:ascii="Cambria" w:eastAsia="Times New Roman" w:hAnsi="Cambria"/>
      <w:b/>
      <w:bCs/>
      <w:color w:val="00477F"/>
      <w:sz w:val="36"/>
      <w:szCs w:val="28"/>
      <w:lang w:eastAsia="en-US"/>
    </w:rPr>
  </w:style>
  <w:style w:type="character" w:customStyle="1" w:styleId="Heading3Char">
    <w:name w:val="Heading 3 Char"/>
    <w:link w:val="Heading3"/>
    <w:uiPriority w:val="9"/>
    <w:rsid w:val="00507E3D"/>
    <w:rPr>
      <w:rFonts w:ascii="Cambria" w:eastAsia="Times New Roman" w:hAnsi="Cambria"/>
      <w:b/>
      <w:bCs/>
      <w:color w:val="00477F"/>
      <w:sz w:val="24"/>
      <w:szCs w:val="22"/>
      <w:lang w:eastAsia="en-US"/>
    </w:rPr>
  </w:style>
  <w:style w:type="paragraph" w:styleId="ListParagraph">
    <w:name w:val="List Paragraph"/>
    <w:basedOn w:val="Normal"/>
    <w:uiPriority w:val="34"/>
    <w:qFormat/>
    <w:rsid w:val="009C6D80"/>
    <w:pPr>
      <w:ind w:left="720"/>
      <w:contextualSpacing/>
    </w:pPr>
  </w:style>
  <w:style w:type="character" w:styleId="Hyperlink">
    <w:name w:val="Hyperlink"/>
    <w:uiPriority w:val="99"/>
    <w:unhideWhenUsed/>
    <w:rsid w:val="00590B0C"/>
    <w:rPr>
      <w:color w:val="0000FF"/>
      <w:u w:val="single"/>
    </w:rPr>
  </w:style>
  <w:style w:type="character" w:styleId="CommentReference">
    <w:name w:val="annotation reference"/>
    <w:uiPriority w:val="99"/>
    <w:semiHidden/>
    <w:unhideWhenUsed/>
    <w:rsid w:val="00A73A62"/>
    <w:rPr>
      <w:sz w:val="16"/>
      <w:szCs w:val="16"/>
    </w:rPr>
  </w:style>
  <w:style w:type="paragraph" w:styleId="CommentText">
    <w:name w:val="annotation text"/>
    <w:basedOn w:val="Normal"/>
    <w:link w:val="CommentTextChar"/>
    <w:uiPriority w:val="99"/>
    <w:semiHidden/>
    <w:unhideWhenUsed/>
    <w:rsid w:val="00A73A62"/>
    <w:pPr>
      <w:spacing w:line="240" w:lineRule="auto"/>
    </w:pPr>
    <w:rPr>
      <w:sz w:val="20"/>
      <w:szCs w:val="20"/>
    </w:rPr>
  </w:style>
  <w:style w:type="character" w:customStyle="1" w:styleId="CommentTextChar">
    <w:name w:val="Comment Text Char"/>
    <w:link w:val="CommentText"/>
    <w:uiPriority w:val="99"/>
    <w:semiHidden/>
    <w:rsid w:val="00A73A62"/>
    <w:rPr>
      <w:sz w:val="20"/>
      <w:szCs w:val="20"/>
    </w:rPr>
  </w:style>
  <w:style w:type="paragraph" w:styleId="CommentSubject">
    <w:name w:val="annotation subject"/>
    <w:basedOn w:val="CommentText"/>
    <w:next w:val="CommentText"/>
    <w:link w:val="CommentSubjectChar"/>
    <w:uiPriority w:val="99"/>
    <w:semiHidden/>
    <w:unhideWhenUsed/>
    <w:rsid w:val="00A73A62"/>
    <w:rPr>
      <w:b/>
      <w:bCs/>
    </w:rPr>
  </w:style>
  <w:style w:type="character" w:customStyle="1" w:styleId="CommentSubjectChar">
    <w:name w:val="Comment Subject Char"/>
    <w:link w:val="CommentSubject"/>
    <w:uiPriority w:val="99"/>
    <w:semiHidden/>
    <w:rsid w:val="00A73A62"/>
    <w:rPr>
      <w:b/>
      <w:bCs/>
      <w:sz w:val="20"/>
      <w:szCs w:val="20"/>
    </w:rPr>
  </w:style>
  <w:style w:type="paragraph" w:styleId="BalloonText">
    <w:name w:val="Balloon Text"/>
    <w:basedOn w:val="Normal"/>
    <w:link w:val="BalloonTextChar"/>
    <w:uiPriority w:val="99"/>
    <w:semiHidden/>
    <w:unhideWhenUsed/>
    <w:rsid w:val="00A73A6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73A62"/>
    <w:rPr>
      <w:rFonts w:ascii="Tahoma" w:hAnsi="Tahoma" w:cs="Tahoma"/>
      <w:sz w:val="16"/>
      <w:szCs w:val="16"/>
    </w:rPr>
  </w:style>
  <w:style w:type="character" w:customStyle="1" w:styleId="Heading4Char">
    <w:name w:val="Heading 4 Char"/>
    <w:link w:val="Heading4"/>
    <w:uiPriority w:val="9"/>
    <w:rsid w:val="00507E3D"/>
    <w:rPr>
      <w:rFonts w:ascii="Cambria" w:eastAsia="Times New Roman" w:hAnsi="Cambria"/>
      <w:b/>
      <w:bCs/>
      <w:iCs/>
      <w:color w:val="00477F"/>
      <w:sz w:val="23"/>
      <w:szCs w:val="22"/>
      <w:lang w:eastAsia="en-US"/>
    </w:rPr>
  </w:style>
  <w:style w:type="paragraph" w:styleId="Header">
    <w:name w:val="header"/>
    <w:basedOn w:val="Normal"/>
    <w:link w:val="HeaderChar"/>
    <w:uiPriority w:val="99"/>
    <w:unhideWhenUsed/>
    <w:rsid w:val="00CD3FEE"/>
    <w:pPr>
      <w:tabs>
        <w:tab w:val="center" w:pos="4513"/>
        <w:tab w:val="right" w:pos="9026"/>
      </w:tabs>
      <w:spacing w:after="0" w:line="240" w:lineRule="auto"/>
    </w:pPr>
  </w:style>
  <w:style w:type="character" w:customStyle="1" w:styleId="HeaderChar">
    <w:name w:val="Header Char"/>
    <w:link w:val="Header"/>
    <w:uiPriority w:val="99"/>
    <w:rsid w:val="00CD3FEE"/>
    <w:rPr>
      <w:sz w:val="23"/>
    </w:rPr>
  </w:style>
  <w:style w:type="paragraph" w:styleId="Footer">
    <w:name w:val="footer"/>
    <w:basedOn w:val="Normal"/>
    <w:link w:val="FooterChar"/>
    <w:uiPriority w:val="99"/>
    <w:unhideWhenUsed/>
    <w:rsid w:val="00CD3FEE"/>
    <w:pPr>
      <w:tabs>
        <w:tab w:val="center" w:pos="4513"/>
        <w:tab w:val="right" w:pos="9026"/>
      </w:tabs>
      <w:spacing w:after="0" w:line="240" w:lineRule="auto"/>
    </w:pPr>
  </w:style>
  <w:style w:type="character" w:customStyle="1" w:styleId="FooterChar">
    <w:name w:val="Footer Char"/>
    <w:link w:val="Footer"/>
    <w:uiPriority w:val="99"/>
    <w:rsid w:val="00CD3FEE"/>
    <w:rPr>
      <w:sz w:val="23"/>
    </w:rPr>
  </w:style>
  <w:style w:type="character" w:styleId="FollowedHyperlink">
    <w:name w:val="FollowedHyperlink"/>
    <w:basedOn w:val="DefaultParagraphFont"/>
    <w:uiPriority w:val="99"/>
    <w:semiHidden/>
    <w:unhideWhenUsed/>
    <w:rsid w:val="00407E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961454">
      <w:bodyDiv w:val="1"/>
      <w:marLeft w:val="0"/>
      <w:marRight w:val="0"/>
      <w:marTop w:val="0"/>
      <w:marBottom w:val="0"/>
      <w:divBdr>
        <w:top w:val="none" w:sz="0" w:space="0" w:color="auto"/>
        <w:left w:val="none" w:sz="0" w:space="0" w:color="auto"/>
        <w:bottom w:val="none" w:sz="0" w:space="0" w:color="auto"/>
        <w:right w:val="none" w:sz="0" w:space="0" w:color="auto"/>
      </w:divBdr>
    </w:div>
    <w:div w:id="1550071014">
      <w:bodyDiv w:val="1"/>
      <w:marLeft w:val="0"/>
      <w:marRight w:val="0"/>
      <w:marTop w:val="0"/>
      <w:marBottom w:val="0"/>
      <w:divBdr>
        <w:top w:val="none" w:sz="0" w:space="0" w:color="auto"/>
        <w:left w:val="none" w:sz="0" w:space="0" w:color="auto"/>
        <w:bottom w:val="none" w:sz="0" w:space="0" w:color="auto"/>
        <w:right w:val="none" w:sz="0" w:space="0" w:color="auto"/>
      </w:divBdr>
    </w:div>
    <w:div w:id="184840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re.co.uk/filelibrary/SAP/2012/Responses_to_stakeholder_comments.pdf" TargetMode="External"/><Relationship Id="rId5" Type="http://schemas.openxmlformats.org/officeDocument/2006/relationships/settings" Target="settings.xml"/><Relationship Id="rId10" Type="http://schemas.openxmlformats.org/officeDocument/2006/relationships/hyperlink" Target="https://eepb.huddle.net/workspace/document/18760003?workspaceid=14874413&amp;directoryid=18757927" TargetMode="External"/><Relationship Id="rId4" Type="http://schemas.microsoft.com/office/2007/relationships/stylesWithEffects" Target="stylesWithEffects.xml"/><Relationship Id="rId9" Type="http://schemas.openxmlformats.org/officeDocument/2006/relationships/hyperlink" Target="http://www.micropower.co.uk/pv-legal-projec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decc.gov.uk/assets/decc/What%20we%20do/Supporting%20consumers/green_deal/796-green-deal-leaflet-homes-business-energy.pdf" TargetMode="External"/><Relationship Id="rId1" Type="http://schemas.openxmlformats.org/officeDocument/2006/relationships/hyperlink" Target="http://www.nationalinsulationassociation.org.uk/pics/docs/9033-DECC-The%20Green%20Deal%20A5%20Lfl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BFBF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AF7BF-339C-4B4E-86B2-C09425AF9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9482</CharactersWithSpaces>
  <SharedDoc>false</SharedDoc>
  <HLinks>
    <vt:vector size="18" baseType="variant">
      <vt:variant>
        <vt:i4>6684789</vt:i4>
      </vt:variant>
      <vt:variant>
        <vt:i4>6</vt:i4>
      </vt:variant>
      <vt:variant>
        <vt:i4>0</vt:i4>
      </vt:variant>
      <vt:variant>
        <vt:i4>5</vt:i4>
      </vt:variant>
      <vt:variant>
        <vt:lpwstr>http://www.consumerfocus.org.uk/get-advice/energy/plug-the-debt</vt:lpwstr>
      </vt:variant>
      <vt:variant>
        <vt:lpwstr/>
      </vt:variant>
      <vt:variant>
        <vt:i4>7143457</vt:i4>
      </vt:variant>
      <vt:variant>
        <vt:i4>3</vt:i4>
      </vt:variant>
      <vt:variant>
        <vt:i4>0</vt:i4>
      </vt:variant>
      <vt:variant>
        <vt:i4>5</vt:i4>
      </vt:variant>
      <vt:variant>
        <vt:lpwstr>http://www.consumerfocus.org.uk/publications/scaling-the-solid-wall</vt:lpwstr>
      </vt:variant>
      <vt:variant>
        <vt:lpwstr/>
      </vt:variant>
      <vt:variant>
        <vt:i4>5373983</vt:i4>
      </vt:variant>
      <vt:variant>
        <vt:i4>0</vt:i4>
      </vt:variant>
      <vt:variant>
        <vt:i4>0</vt:i4>
      </vt:variant>
      <vt:variant>
        <vt:i4>5</vt:i4>
      </vt:variant>
      <vt:variant>
        <vt:lpwstr>https://eeph.huddle.net/workspace/document/16624276?workspaceid=14036790&amp;directoryid=15120462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Hessler</dc:creator>
  <cp:keywords/>
  <dc:description/>
  <cp:lastModifiedBy>Mathias Hessler</cp:lastModifiedBy>
  <cp:revision>4</cp:revision>
  <dcterms:created xsi:type="dcterms:W3CDTF">2012-06-28T11:12:00Z</dcterms:created>
  <dcterms:modified xsi:type="dcterms:W3CDTF">2012-06-28T12:06:00Z</dcterms:modified>
</cp:coreProperties>
</file>